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宋三简体" w:hAnsi="方正宋三简体" w:eastAsia="方正宋三简体" w:cs="方正宋三简体"/>
          <w:b/>
          <w:bCs/>
          <w:sz w:val="44"/>
          <w:szCs w:val="44"/>
        </w:rPr>
      </w:pPr>
      <w:r>
        <w:rPr>
          <w:rFonts w:hint="eastAsia" w:ascii="方正宋三简体" w:hAnsi="方正宋三简体" w:eastAsia="方正宋三简体" w:cs="方正宋三简体"/>
          <w:b/>
          <w:bCs/>
          <w:sz w:val="44"/>
          <w:szCs w:val="44"/>
        </w:rPr>
        <w:t>与相关部门的职责边界</w:t>
      </w:r>
    </w:p>
    <w:p>
      <w:pPr>
        <w:rPr>
          <w:rFonts w:ascii="仿宋_GB2312" w:eastAsia="仿宋_GB2312"/>
          <w:sz w:val="30"/>
          <w:szCs w:val="30"/>
        </w:rPr>
      </w:pPr>
    </w:p>
    <w:tbl>
      <w:tblPr>
        <w:tblStyle w:val="5"/>
        <w:tblW w:w="1365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1965"/>
        <w:gridCol w:w="1023"/>
        <w:gridCol w:w="5775"/>
        <w:gridCol w:w="1812"/>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5" w:hRule="atLeast"/>
        </w:trPr>
        <w:tc>
          <w:tcPr>
            <w:tcW w:w="765" w:type="dxa"/>
            <w:vAlign w:val="center"/>
          </w:tcPr>
          <w:p>
            <w:pPr>
              <w:spacing w:line="300" w:lineRule="exact"/>
              <w:jc w:val="center"/>
              <w:rPr>
                <w:rFonts w:hint="eastAsia" w:ascii="方正宋三简体" w:hAnsi="方正宋三简体" w:eastAsia="方正宋三简体" w:cs="方正宋三简体"/>
                <w:b/>
                <w:sz w:val="18"/>
                <w:szCs w:val="18"/>
              </w:rPr>
            </w:pPr>
            <w:r>
              <w:rPr>
                <w:rFonts w:hint="eastAsia" w:ascii="方正宋三简体" w:hAnsi="方正宋三简体" w:eastAsia="方正宋三简体" w:cs="方正宋三简体"/>
                <w:b/>
                <w:sz w:val="18"/>
                <w:szCs w:val="18"/>
              </w:rPr>
              <w:t>序号</w:t>
            </w:r>
          </w:p>
        </w:tc>
        <w:tc>
          <w:tcPr>
            <w:tcW w:w="1965" w:type="dxa"/>
            <w:vAlign w:val="center"/>
          </w:tcPr>
          <w:p>
            <w:pPr>
              <w:spacing w:line="300" w:lineRule="exact"/>
              <w:jc w:val="center"/>
              <w:rPr>
                <w:rFonts w:hint="eastAsia" w:ascii="方正宋三简体" w:hAnsi="方正宋三简体" w:eastAsia="方正宋三简体" w:cs="方正宋三简体"/>
                <w:b/>
                <w:sz w:val="18"/>
                <w:szCs w:val="18"/>
              </w:rPr>
            </w:pPr>
            <w:r>
              <w:rPr>
                <w:rFonts w:hint="eastAsia" w:ascii="方正宋三简体" w:hAnsi="方正宋三简体" w:eastAsia="方正宋三简体" w:cs="方正宋三简体"/>
                <w:b/>
                <w:sz w:val="18"/>
                <w:szCs w:val="18"/>
              </w:rPr>
              <w:t>管理事项</w:t>
            </w:r>
          </w:p>
        </w:tc>
        <w:tc>
          <w:tcPr>
            <w:tcW w:w="1023" w:type="dxa"/>
            <w:vAlign w:val="center"/>
          </w:tcPr>
          <w:p>
            <w:pPr>
              <w:spacing w:line="300" w:lineRule="exact"/>
              <w:jc w:val="center"/>
              <w:rPr>
                <w:rFonts w:hint="eastAsia" w:ascii="方正宋三简体" w:hAnsi="方正宋三简体" w:eastAsia="方正宋三简体" w:cs="方正宋三简体"/>
                <w:b/>
                <w:sz w:val="18"/>
                <w:szCs w:val="18"/>
              </w:rPr>
            </w:pPr>
            <w:r>
              <w:rPr>
                <w:rFonts w:hint="eastAsia" w:ascii="方正宋三简体" w:hAnsi="方正宋三简体" w:eastAsia="方正宋三简体" w:cs="方正宋三简体"/>
                <w:b/>
                <w:sz w:val="18"/>
                <w:szCs w:val="18"/>
              </w:rPr>
              <w:t>相关部门</w:t>
            </w:r>
          </w:p>
        </w:tc>
        <w:tc>
          <w:tcPr>
            <w:tcW w:w="5775" w:type="dxa"/>
            <w:vAlign w:val="center"/>
          </w:tcPr>
          <w:p>
            <w:pPr>
              <w:spacing w:line="300" w:lineRule="exact"/>
              <w:jc w:val="center"/>
              <w:rPr>
                <w:rFonts w:hint="eastAsia" w:ascii="方正宋三简体" w:hAnsi="方正宋三简体" w:eastAsia="方正宋三简体" w:cs="方正宋三简体"/>
                <w:b/>
                <w:sz w:val="18"/>
                <w:szCs w:val="18"/>
              </w:rPr>
            </w:pPr>
            <w:bookmarkStart w:id="0" w:name="_GoBack"/>
            <w:bookmarkEnd w:id="0"/>
            <w:r>
              <w:rPr>
                <w:rFonts w:hint="eastAsia" w:ascii="方正宋三简体" w:hAnsi="方正宋三简体" w:eastAsia="方正宋三简体" w:cs="方正宋三简体"/>
                <w:b/>
                <w:sz w:val="18"/>
                <w:szCs w:val="18"/>
              </w:rPr>
              <w:t>职责分工</w:t>
            </w:r>
          </w:p>
        </w:tc>
        <w:tc>
          <w:tcPr>
            <w:tcW w:w="1812" w:type="dxa"/>
            <w:vAlign w:val="center"/>
          </w:tcPr>
          <w:p>
            <w:pPr>
              <w:spacing w:line="300" w:lineRule="exact"/>
              <w:jc w:val="center"/>
              <w:rPr>
                <w:rFonts w:hint="eastAsia" w:ascii="方正宋三简体" w:hAnsi="方正宋三简体" w:eastAsia="方正宋三简体" w:cs="方正宋三简体"/>
                <w:b/>
                <w:sz w:val="18"/>
                <w:szCs w:val="18"/>
              </w:rPr>
            </w:pPr>
            <w:r>
              <w:rPr>
                <w:rFonts w:hint="eastAsia" w:ascii="方正宋三简体" w:hAnsi="方正宋三简体" w:eastAsia="方正宋三简体" w:cs="方正宋三简体"/>
                <w:b/>
                <w:sz w:val="18"/>
                <w:szCs w:val="18"/>
              </w:rPr>
              <w:t>相关依据</w:t>
            </w:r>
          </w:p>
        </w:tc>
        <w:tc>
          <w:tcPr>
            <w:tcW w:w="2310" w:type="dxa"/>
            <w:vAlign w:val="center"/>
          </w:tcPr>
          <w:p>
            <w:pPr>
              <w:spacing w:line="300" w:lineRule="exact"/>
              <w:jc w:val="center"/>
              <w:rPr>
                <w:rFonts w:hint="eastAsia" w:ascii="方正宋三简体" w:hAnsi="方正宋三简体" w:eastAsia="方正宋三简体" w:cs="方正宋三简体"/>
                <w:b/>
                <w:sz w:val="18"/>
                <w:szCs w:val="18"/>
              </w:rPr>
            </w:pPr>
            <w:r>
              <w:rPr>
                <w:rFonts w:hint="eastAsia" w:ascii="方正宋三简体" w:hAnsi="方正宋三简体" w:eastAsia="方正宋三简体" w:cs="方正宋三简体"/>
                <w:b/>
                <w:sz w:val="18"/>
                <w:szCs w:val="1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9"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1</w:t>
            </w:r>
          </w:p>
        </w:tc>
        <w:tc>
          <w:tcPr>
            <w:tcW w:w="1965" w:type="dxa"/>
            <w:vMerge w:val="restart"/>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实施学历教育、学前教育、自学考试助学及其它文化教育的民办学校设立、分立、合并、终止和变更名称、层次、类别的审批</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食药监局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对民办学校食堂《餐饮服务许可证》进行办理</w:t>
            </w:r>
          </w:p>
        </w:tc>
        <w:tc>
          <w:tcPr>
            <w:tcW w:w="1812" w:type="dxa"/>
            <w:vMerge w:val="restart"/>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《中华人民共和国民办教育促进法》</w:t>
            </w:r>
          </w:p>
        </w:tc>
        <w:tc>
          <w:tcPr>
            <w:tcW w:w="2310" w:type="dxa"/>
            <w:vMerge w:val="restart"/>
            <w:vAlign w:val="center"/>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9"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物价局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民办学校收费许可在县物价局备案</w:t>
            </w:r>
          </w:p>
        </w:tc>
        <w:tc>
          <w:tcPr>
            <w:tcW w:w="1812"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2310" w:type="dxa"/>
            <w:vMerge w:val="continue"/>
            <w:vAlign w:val="center"/>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5"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民政局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在县民政局办理《民办非企业登记证书》</w:t>
            </w:r>
          </w:p>
        </w:tc>
        <w:tc>
          <w:tcPr>
            <w:tcW w:w="1812"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2310" w:type="dxa"/>
            <w:vMerge w:val="continue"/>
            <w:vAlign w:val="center"/>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1023"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技术监督局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在县技术监督局办理民办学校组织机构代码</w:t>
            </w:r>
          </w:p>
        </w:tc>
        <w:tc>
          <w:tcPr>
            <w:tcW w:w="1812"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2310" w:type="dxa"/>
            <w:vMerge w:val="continue"/>
            <w:vAlign w:val="center"/>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4" w:hRule="atLeast"/>
        </w:trPr>
        <w:tc>
          <w:tcPr>
            <w:tcW w:w="765"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2</w:t>
            </w:r>
          </w:p>
        </w:tc>
        <w:tc>
          <w:tcPr>
            <w:tcW w:w="196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kern w:val="0"/>
                <w:sz w:val="18"/>
                <w:szCs w:val="18"/>
                <w:shd w:val="clear" w:color="auto" w:fill="FFFFFF"/>
              </w:rPr>
              <w:t>组织做好符合评定职称的中小学教师进行相关资料的组档工作</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人社局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教育局对</w:t>
            </w:r>
            <w:r>
              <w:rPr>
                <w:rFonts w:hint="eastAsia" w:ascii="方正宋三简体" w:hAnsi="方正宋三简体" w:eastAsia="方正宋三简体" w:cs="方正宋三简体"/>
                <w:kern w:val="0"/>
                <w:sz w:val="18"/>
                <w:szCs w:val="18"/>
                <w:shd w:val="clear" w:color="auto" w:fill="FFFFFF"/>
              </w:rPr>
              <w:t>符合评定职称的中小学教师相关资料</w:t>
            </w:r>
            <w:r>
              <w:rPr>
                <w:rFonts w:hint="eastAsia" w:ascii="方正宋三简体" w:hAnsi="方正宋三简体" w:eastAsia="方正宋三简体" w:cs="方正宋三简体"/>
                <w:sz w:val="18"/>
                <w:szCs w:val="18"/>
              </w:rPr>
              <w:t>进行组档，人社局初审后上报保定市人社局</w:t>
            </w:r>
          </w:p>
        </w:tc>
        <w:tc>
          <w:tcPr>
            <w:tcW w:w="1812"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《河北省教师资格申报条件》、《关于进一步推行职称申报评审公开公示制度有关问题的通知》冀职改办字【2013】64号</w:t>
            </w:r>
          </w:p>
        </w:tc>
        <w:tc>
          <w:tcPr>
            <w:tcW w:w="2310" w:type="dxa"/>
            <w:vAlign w:val="center"/>
          </w:tcPr>
          <w:p>
            <w:pPr>
              <w:spacing w:line="280" w:lineRule="exact"/>
              <w:rPr>
                <w:rFonts w:hint="eastAsia" w:ascii="方正宋三简体" w:hAnsi="方正宋三简体" w:eastAsia="方正宋三简体" w:cs="方正宋三简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0"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3</w:t>
            </w:r>
          </w:p>
        </w:tc>
        <w:tc>
          <w:tcPr>
            <w:tcW w:w="1965" w:type="dxa"/>
            <w:vMerge w:val="restart"/>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学校食品安全监管</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工商局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负责学校超市食品安全监管</w:t>
            </w:r>
          </w:p>
        </w:tc>
        <w:tc>
          <w:tcPr>
            <w:tcW w:w="1812" w:type="dxa"/>
            <w:vMerge w:val="restart"/>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color w:val="000000"/>
                <w:sz w:val="18"/>
                <w:szCs w:val="18"/>
                <w:shd w:val="clear" w:color="auto" w:fill="FFFFFF"/>
              </w:rPr>
              <w:t>《食品卫生法》</w:t>
            </w:r>
          </w:p>
        </w:tc>
        <w:tc>
          <w:tcPr>
            <w:tcW w:w="2310" w:type="dxa"/>
            <w:vMerge w:val="restart"/>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2014年9月教育局、药监局、食安办联合对大百尺中学东校区进行检查，并下发停业《整改通知书》，经整顿后有明显改善。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94"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280" w:lineRule="exact"/>
              <w:jc w:val="center"/>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食药监局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负责学校食堂食品安全监管</w:t>
            </w:r>
          </w:p>
        </w:tc>
        <w:tc>
          <w:tcPr>
            <w:tcW w:w="1812" w:type="dxa"/>
            <w:vMerge w:val="continue"/>
            <w:vAlign w:val="center"/>
          </w:tcPr>
          <w:p>
            <w:pPr>
              <w:spacing w:line="28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Merge w:val="continue"/>
            <w:vAlign w:val="center"/>
          </w:tcPr>
          <w:p>
            <w:pPr>
              <w:spacing w:line="280" w:lineRule="exact"/>
              <w:jc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4</w:t>
            </w:r>
          </w:p>
        </w:tc>
        <w:tc>
          <w:tcPr>
            <w:tcW w:w="1965" w:type="dxa"/>
            <w:vMerge w:val="restart"/>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学校卫生防疫监管</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负责学校内部卫生管理工作，预防控制学校传染病流行。</w:t>
            </w:r>
          </w:p>
        </w:tc>
        <w:tc>
          <w:tcPr>
            <w:tcW w:w="1812" w:type="dxa"/>
            <w:vMerge w:val="restart"/>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color w:val="000000"/>
                <w:sz w:val="18"/>
                <w:szCs w:val="18"/>
                <w:shd w:val="clear" w:color="auto" w:fill="FFFFFF"/>
              </w:rPr>
              <w:t>《学校卫生工作条例》《中华人民共和国传染病防治法》</w:t>
            </w:r>
          </w:p>
        </w:tc>
        <w:tc>
          <w:tcPr>
            <w:tcW w:w="2310" w:type="dxa"/>
            <w:vMerge w:val="restart"/>
            <w:vAlign w:val="center"/>
          </w:tcPr>
          <w:p>
            <w:pPr>
              <w:widowControl/>
              <w:spacing w:line="28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280" w:lineRule="exact"/>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卫生局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shd w:val="clear" w:color="auto" w:fill="FFFFFF"/>
              </w:rPr>
              <w:t>负责对学校卫生工作的监督指导</w:t>
            </w:r>
          </w:p>
        </w:tc>
        <w:tc>
          <w:tcPr>
            <w:tcW w:w="1812" w:type="dxa"/>
            <w:vMerge w:val="continue"/>
            <w:vAlign w:val="center"/>
          </w:tcPr>
          <w:p>
            <w:pPr>
              <w:spacing w:line="28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Merge w:val="continue"/>
            <w:vAlign w:val="center"/>
          </w:tcPr>
          <w:p>
            <w:pPr>
              <w:widowControl/>
              <w:spacing w:line="28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5"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5</w:t>
            </w:r>
          </w:p>
        </w:tc>
        <w:tc>
          <w:tcPr>
            <w:tcW w:w="1965" w:type="dxa"/>
            <w:vMerge w:val="restart"/>
            <w:vAlign w:val="center"/>
          </w:tcPr>
          <w:p>
            <w:pPr>
              <w:widowControl/>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县域内教育教学督导评估和义务教育均衡发展</w:t>
            </w: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乡镇政府</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要将教育工作纳入本乡镇发展规划和年度计划，确立科教兴县战略，积极改善办学条件，努力提升教学整体水平；依法履行控辍保学责任，认真组织和督促适龄儿童少年入学，依法控制学生流失，确保辖区内学生不因贫困失学。</w:t>
            </w:r>
          </w:p>
        </w:tc>
        <w:tc>
          <w:tcPr>
            <w:tcW w:w="1812" w:type="dxa"/>
            <w:vMerge w:val="restart"/>
            <w:vAlign w:val="center"/>
          </w:tcPr>
          <w:p>
            <w:pPr>
              <w:spacing w:line="300" w:lineRule="exact"/>
              <w:rPr>
                <w:rFonts w:hint="eastAsia" w:ascii="方正宋三简体" w:hAnsi="方正宋三简体" w:eastAsia="方正宋三简体" w:cs="方正宋三简体"/>
                <w:color w:val="000000"/>
                <w:sz w:val="18"/>
                <w:szCs w:val="18"/>
                <w:shd w:val="clear" w:color="auto" w:fill="FFFFFF"/>
              </w:rPr>
            </w:pPr>
            <w:r>
              <w:rPr>
                <w:rFonts w:hint="eastAsia" w:ascii="方正宋三简体" w:hAnsi="方正宋三简体" w:eastAsia="方正宋三简体" w:cs="方正宋三简体"/>
                <w:sz w:val="18"/>
                <w:szCs w:val="18"/>
              </w:rPr>
              <w:t>《教育部关于县域义务教育均衡发展督导评估暂行办法的通知》（教督[2012]3号）、《河北省人民政府关于加强对县级人民政府教育工作督导评估的意见》（冀政[2013]50号）和《保定市人民政府教育督导委员会关于认真做好迎接省政府对县级政府教育工作和县域义务教育均衡发展督导评估工作的通知》（保教督字[2014]6号）</w:t>
            </w: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财政局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切实保证教育经费实现“三个增长”；负责安排教育经费支出预算，并按照预算及时拨付到教育部门；及时拨付教育附加、城市维护建设税、农村税费改革转移支付资金、教师培训费、成人教育经费等专项经费；按照《河北省义务教育学校办学基本标准》，会同有关部门筹措中小学校标准化建设及配套设施的经费，负责落实由财政部门承担或给予补助的部分，确保资金按时足额到位。</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5"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发改局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把教育发展纳入国民经济和社会发展规划，会同教育局制定教育发展规划，负责新建学校的项目审批。</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人社局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制定提高教师的社会地位和工资福利待遇、奖励优秀教师和优秀教育工作者等方面的政策，促进教师队伍的稳定；依法加强劳动力市场管理，规范各类用人单位用工行为，严禁使用童工，对使用童工的单位和个人依法追究责任和处罚。</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1"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ind w:left="172" w:leftChars="82"/>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编办</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在省政府核批的中小学教职工编制总额内，按照班额、生源等情况核定教职工编制。</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4"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地税局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负责按照有关规定足额征收教育附加、城市维护建设税等，并及时入库，落实好国家对纳税人向教育捐赠的有关减免税政策。</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0"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规划局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把学校及其配套设施建设纳入城市规划和村镇规划，会同教育行政部门合理设置幼儿园、小学、初中、高中、职中及特殊教育学校。</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住建局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对学校建设在符合基本建设程序规定的前提下优先安排设计和建设，保证按期竣工使用，并按政策规定减免中小学校舍建设的有关配套费用；负责校舍工程质量的监督管理，监督校舍工程竣工验收工作。</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1"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国土局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保证学校建设用地，对中小学新建、扩建校舍所需要的土地，按有关规定予以划拨；在学校征地、动迁方面给予优先、优惠。</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工商局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依法保障适龄儿童、少年接受义务教育的权利，禁止向未满16周岁儿童、少年发放各类营业执照；维护学校正常的教学秩序，严禁商贩在学校内或校门前摆摊设点。</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环保局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县环保局要保证学校及学校周边环境不受污染，对造成学校环境污染的单位和个人依法进行处理。</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卫生局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指导中小学卫生工作，会同教育行政部门对适龄儿童、少年定期进行预防性健康检查，为学生保健提供技术指导；进行医学鉴定，出具有关医学证明，供教育部门参考。</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文广新局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文广新局要整顿文化市场秩序，加大对网吧的查处力度，严禁未成年人进入网吧，为中小学生提供良好的文化活动场所和健康向上的文艺作品；做好教育宣传工作。</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公安局</w:t>
            </w:r>
          </w:p>
        </w:tc>
        <w:tc>
          <w:tcPr>
            <w:tcW w:w="5775" w:type="dxa"/>
            <w:vMerge w:val="restart"/>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负责周边的治安安全，切实保障学校正常的教育教学秩序以及全体师生的人身安全；负责做好学校周边的交通管理，确保学校周边交通顺畅。</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1"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5775" w:type="dxa"/>
            <w:vMerge w:val="continue"/>
            <w:vAlign w:val="center"/>
          </w:tcPr>
          <w:p>
            <w:pPr>
              <w:spacing w:line="300" w:lineRule="exact"/>
              <w:rPr>
                <w:rFonts w:hint="eastAsia" w:ascii="方正宋三简体" w:hAnsi="方正宋三简体" w:eastAsia="方正宋三简体" w:cs="方正宋三简体"/>
                <w:sz w:val="18"/>
                <w:szCs w:val="18"/>
              </w:rPr>
            </w:pP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7"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公安消防大队</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负责新建校舍的图纸消防审查，定期指导学校进行安全消防演练和火灾隐患排查，确保学校消防安全。</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023"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食药监局</w:t>
            </w:r>
          </w:p>
        </w:tc>
        <w:tc>
          <w:tcPr>
            <w:tcW w:w="5775" w:type="dxa"/>
            <w:vAlign w:val="center"/>
          </w:tcPr>
          <w:p>
            <w:pPr>
              <w:spacing w:line="30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负责学校食堂的食品安全监督指导工作，要加强学校食堂餐饮服务食品安全管理工作，切实保障广大师生身体健康和饮食安全，有效预防和控制食物中毒等突发公共事件的发生。</w:t>
            </w:r>
          </w:p>
        </w:tc>
        <w:tc>
          <w:tcPr>
            <w:tcW w:w="1812" w:type="dxa"/>
            <w:vMerge w:val="continue"/>
            <w:vAlign w:val="center"/>
          </w:tcPr>
          <w:p>
            <w:pPr>
              <w:spacing w:line="300" w:lineRule="exact"/>
              <w:jc w:val="center"/>
              <w:rPr>
                <w:rFonts w:hint="eastAsia" w:ascii="方正宋三简体" w:hAnsi="方正宋三简体" w:eastAsia="方正宋三简体" w:cs="方正宋三简体"/>
                <w:color w:val="000000"/>
                <w:sz w:val="18"/>
                <w:szCs w:val="18"/>
                <w:shd w:val="clear" w:color="auto" w:fill="FFFFFF"/>
              </w:rPr>
            </w:pPr>
          </w:p>
        </w:tc>
        <w:tc>
          <w:tcPr>
            <w:tcW w:w="2310" w:type="dxa"/>
            <w:vAlign w:val="center"/>
          </w:tcPr>
          <w:p>
            <w:pPr>
              <w:widowControl/>
              <w:spacing w:line="300" w:lineRule="exact"/>
              <w:jc w:val="left"/>
              <w:textAlignment w:val="center"/>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4" w:hRule="atLeast"/>
        </w:trPr>
        <w:tc>
          <w:tcPr>
            <w:tcW w:w="765"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6</w:t>
            </w:r>
          </w:p>
        </w:tc>
        <w:tc>
          <w:tcPr>
            <w:tcW w:w="1965"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协助保险公司做好学生意外伤害保险工作</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中国人寿保险公司</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人寿公司全权负责，教育局协调、监督赔付。</w:t>
            </w:r>
          </w:p>
        </w:tc>
        <w:tc>
          <w:tcPr>
            <w:tcW w:w="1812"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冀教安（2014）18号文件及市校产办工作会议精神要求</w:t>
            </w:r>
          </w:p>
        </w:tc>
        <w:tc>
          <w:tcPr>
            <w:tcW w:w="2310" w:type="dxa"/>
            <w:vAlign w:val="top"/>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蠡县小陈小学王佳瑶同学不慎从三马上坠车造成股骨破裂，保险公司及时给予赔付。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6" w:hRule="atLeast"/>
        </w:trPr>
        <w:tc>
          <w:tcPr>
            <w:tcW w:w="765"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7</w:t>
            </w:r>
          </w:p>
        </w:tc>
        <w:tc>
          <w:tcPr>
            <w:tcW w:w="1965" w:type="dxa"/>
            <w:vAlign w:val="top"/>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办理教职工退休手续和死亡教职工的丧葬费抚恤金工作</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人社局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教育局申报教职工退休手续和死亡教职工的丧葬费抚恤金，由人社局审批</w:t>
            </w:r>
          </w:p>
        </w:tc>
        <w:tc>
          <w:tcPr>
            <w:tcW w:w="1812"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根据国家、省、市红头文件</w:t>
            </w:r>
          </w:p>
        </w:tc>
        <w:tc>
          <w:tcPr>
            <w:tcW w:w="2310" w:type="dxa"/>
            <w:vAlign w:val="top"/>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3" w:hRule="atLeast"/>
        </w:trPr>
        <w:tc>
          <w:tcPr>
            <w:tcW w:w="765"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8</w:t>
            </w:r>
          </w:p>
        </w:tc>
        <w:tc>
          <w:tcPr>
            <w:tcW w:w="1965" w:type="dxa"/>
            <w:vAlign w:val="top"/>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负责全县教职工的工资晋升及新参加工作人员的转正定级工作</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人社局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教育局负责申报，人社局申批</w:t>
            </w:r>
          </w:p>
        </w:tc>
        <w:tc>
          <w:tcPr>
            <w:tcW w:w="1812"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根据国家省市红头文件</w:t>
            </w:r>
          </w:p>
        </w:tc>
        <w:tc>
          <w:tcPr>
            <w:tcW w:w="2310" w:type="dxa"/>
            <w:vAlign w:val="top"/>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8"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9</w:t>
            </w:r>
          </w:p>
        </w:tc>
        <w:tc>
          <w:tcPr>
            <w:tcW w:w="1965" w:type="dxa"/>
            <w:vMerge w:val="restart"/>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体育社会团体年度检查初审</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对社会团体提交的资料审查，合格后出示红头文件</w:t>
            </w:r>
          </w:p>
        </w:tc>
        <w:tc>
          <w:tcPr>
            <w:tcW w:w="1812" w:type="dxa"/>
            <w:vMerge w:val="restart"/>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《河北省社会团体登记管理条例》河北省人民政府令【2010】第1号</w:t>
            </w:r>
          </w:p>
        </w:tc>
        <w:tc>
          <w:tcPr>
            <w:tcW w:w="2310" w:type="dxa"/>
            <w:vMerge w:val="restart"/>
            <w:vAlign w:val="top"/>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成立蠡县体育总会，有蠡县教育局出示红头文件，体育总会携带相关资料到民政局进行审批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9"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top"/>
          </w:tcPr>
          <w:p>
            <w:pPr>
              <w:spacing w:line="280" w:lineRule="exact"/>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民政局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负责对体育社会团体的审批</w:t>
            </w:r>
          </w:p>
        </w:tc>
        <w:tc>
          <w:tcPr>
            <w:tcW w:w="1812" w:type="dxa"/>
            <w:vMerge w:val="continue"/>
            <w:vAlign w:val="top"/>
          </w:tcPr>
          <w:p>
            <w:pPr>
              <w:spacing w:line="280" w:lineRule="exact"/>
              <w:rPr>
                <w:rFonts w:hint="eastAsia" w:ascii="方正宋三简体" w:hAnsi="方正宋三简体" w:eastAsia="方正宋三简体" w:cs="方正宋三简体"/>
                <w:sz w:val="18"/>
                <w:szCs w:val="18"/>
              </w:rPr>
            </w:pPr>
          </w:p>
        </w:tc>
        <w:tc>
          <w:tcPr>
            <w:tcW w:w="2310" w:type="dxa"/>
            <w:vMerge w:val="continue"/>
            <w:vAlign w:val="top"/>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1" w:hRule="atLeast"/>
        </w:trPr>
        <w:tc>
          <w:tcPr>
            <w:tcW w:w="765" w:type="dxa"/>
            <w:vMerge w:val="restart"/>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10</w:t>
            </w:r>
          </w:p>
        </w:tc>
        <w:tc>
          <w:tcPr>
            <w:tcW w:w="1965" w:type="dxa"/>
            <w:vMerge w:val="restart"/>
            <w:vAlign w:val="top"/>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履行安全监管职责；对所有学校进行安全检查。</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负责校园安全管理，会同相关部门做好校园周边安全治理工作</w:t>
            </w:r>
          </w:p>
        </w:tc>
        <w:tc>
          <w:tcPr>
            <w:tcW w:w="1812" w:type="dxa"/>
            <w:vMerge w:val="restart"/>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根据国家、省、市每年下发的关于安全检查的文件</w:t>
            </w:r>
          </w:p>
        </w:tc>
        <w:tc>
          <w:tcPr>
            <w:tcW w:w="2310" w:type="dxa"/>
            <w:vMerge w:val="restart"/>
            <w:vAlign w:val="top"/>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6" w:hRule="atLeast"/>
        </w:trPr>
        <w:tc>
          <w:tcPr>
            <w:tcW w:w="765" w:type="dxa"/>
            <w:vMerge w:val="continue"/>
            <w:vAlign w:val="center"/>
          </w:tcPr>
          <w:p>
            <w:pPr>
              <w:spacing w:line="300" w:lineRule="exact"/>
              <w:jc w:val="center"/>
              <w:rPr>
                <w:rFonts w:hint="eastAsia" w:ascii="方正宋三简体" w:hAnsi="方正宋三简体" w:eastAsia="方正宋三简体" w:cs="方正宋三简体"/>
                <w:sz w:val="18"/>
                <w:szCs w:val="18"/>
              </w:rPr>
            </w:pPr>
          </w:p>
        </w:tc>
        <w:tc>
          <w:tcPr>
            <w:tcW w:w="1965" w:type="dxa"/>
            <w:vMerge w:val="continue"/>
            <w:vAlign w:val="center"/>
          </w:tcPr>
          <w:p>
            <w:pPr>
              <w:widowControl/>
              <w:spacing w:line="280" w:lineRule="exact"/>
              <w:jc w:val="left"/>
              <w:rPr>
                <w:rFonts w:hint="eastAsia" w:ascii="方正宋三简体" w:hAnsi="方正宋三简体" w:eastAsia="方正宋三简体" w:cs="方正宋三简体"/>
                <w:sz w:val="18"/>
                <w:szCs w:val="18"/>
              </w:rPr>
            </w:pP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安监局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负责协调和监督职能部门强化学生上下学交通管理工作；协调和督导相关部门落实学校交通安全工作措施，并将学生交通安全和校车安全管理纳入安全生产目标责任内容。</w:t>
            </w:r>
          </w:p>
        </w:tc>
        <w:tc>
          <w:tcPr>
            <w:tcW w:w="1812" w:type="dxa"/>
            <w:vMerge w:val="continue"/>
            <w:vAlign w:val="top"/>
          </w:tcPr>
          <w:p>
            <w:pPr>
              <w:spacing w:line="280" w:lineRule="exact"/>
              <w:rPr>
                <w:rFonts w:hint="eastAsia" w:ascii="方正宋三简体" w:hAnsi="方正宋三简体" w:eastAsia="方正宋三简体" w:cs="方正宋三简体"/>
                <w:sz w:val="18"/>
                <w:szCs w:val="18"/>
              </w:rPr>
            </w:pPr>
          </w:p>
        </w:tc>
        <w:tc>
          <w:tcPr>
            <w:tcW w:w="2310" w:type="dxa"/>
            <w:vMerge w:val="continue"/>
            <w:vAlign w:val="top"/>
          </w:tcPr>
          <w:p>
            <w:pPr>
              <w:spacing w:line="280" w:lineRule="exact"/>
              <w:rPr>
                <w:rFonts w:hint="eastAsia" w:ascii="方正宋三简体" w:hAnsi="方正宋三简体" w:eastAsia="方正宋三简体" w:cs="方正宋三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7" w:hRule="atLeast"/>
        </w:trPr>
        <w:tc>
          <w:tcPr>
            <w:tcW w:w="765" w:type="dxa"/>
            <w:vAlign w:val="center"/>
          </w:tcPr>
          <w:p>
            <w:pPr>
              <w:spacing w:line="30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11</w:t>
            </w:r>
          </w:p>
        </w:tc>
        <w:tc>
          <w:tcPr>
            <w:tcW w:w="1965" w:type="dxa"/>
            <w:vAlign w:val="center"/>
          </w:tcPr>
          <w:p>
            <w:pPr>
              <w:widowControl/>
              <w:spacing w:line="280" w:lineRule="exact"/>
              <w:jc w:val="lef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教育经费预决算工作</w:t>
            </w:r>
          </w:p>
        </w:tc>
        <w:tc>
          <w:tcPr>
            <w:tcW w:w="1023"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财政局</w:t>
            </w:r>
          </w:p>
        </w:tc>
        <w:tc>
          <w:tcPr>
            <w:tcW w:w="5775" w:type="dxa"/>
            <w:vAlign w:val="center"/>
          </w:tcPr>
          <w:p>
            <w:pPr>
              <w:spacing w:line="280" w:lineRule="exact"/>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教育局自行进行经费预决算工作，上报财政局审核</w:t>
            </w:r>
          </w:p>
        </w:tc>
        <w:tc>
          <w:tcPr>
            <w:tcW w:w="1812" w:type="dxa"/>
            <w:vAlign w:val="center"/>
          </w:tcPr>
          <w:p>
            <w:pPr>
              <w:spacing w:line="280" w:lineRule="exact"/>
              <w:jc w:val="center"/>
              <w:rPr>
                <w:rFonts w:hint="eastAsia" w:ascii="方正宋三简体" w:hAnsi="方正宋三简体" w:eastAsia="方正宋三简体" w:cs="方正宋三简体"/>
                <w:sz w:val="18"/>
                <w:szCs w:val="18"/>
              </w:rPr>
            </w:pPr>
            <w:r>
              <w:rPr>
                <w:rFonts w:hint="eastAsia" w:ascii="方正宋三简体" w:hAnsi="方正宋三简体" w:eastAsia="方正宋三简体" w:cs="方正宋三简体"/>
                <w:sz w:val="18"/>
                <w:szCs w:val="18"/>
              </w:rPr>
              <w:t>《预算法》</w:t>
            </w:r>
          </w:p>
        </w:tc>
        <w:tc>
          <w:tcPr>
            <w:tcW w:w="2310" w:type="dxa"/>
            <w:vAlign w:val="top"/>
          </w:tcPr>
          <w:p>
            <w:pPr>
              <w:spacing w:line="280" w:lineRule="exact"/>
              <w:rPr>
                <w:rFonts w:hint="eastAsia" w:ascii="方正宋三简体" w:hAnsi="方正宋三简体" w:eastAsia="方正宋三简体" w:cs="方正宋三简体"/>
                <w:sz w:val="18"/>
                <w:szCs w:val="18"/>
              </w:rPr>
            </w:pPr>
          </w:p>
        </w:tc>
      </w:tr>
    </w:tbl>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417" w:right="1417" w:bottom="1417" w:left="1417"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方正宋三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16B3"/>
    <w:rsid w:val="000021A2"/>
    <w:rsid w:val="000031EF"/>
    <w:rsid w:val="00091A0B"/>
    <w:rsid w:val="000968F2"/>
    <w:rsid w:val="000A1F68"/>
    <w:rsid w:val="000B071A"/>
    <w:rsid w:val="000B09C0"/>
    <w:rsid w:val="000D509A"/>
    <w:rsid w:val="000E0610"/>
    <w:rsid w:val="00105A0F"/>
    <w:rsid w:val="001155C2"/>
    <w:rsid w:val="001324F2"/>
    <w:rsid w:val="001603B1"/>
    <w:rsid w:val="00185B57"/>
    <w:rsid w:val="001B1EDE"/>
    <w:rsid w:val="001C360D"/>
    <w:rsid w:val="002745DB"/>
    <w:rsid w:val="002A16D6"/>
    <w:rsid w:val="002C7B76"/>
    <w:rsid w:val="002F1ABF"/>
    <w:rsid w:val="003548C8"/>
    <w:rsid w:val="00362E47"/>
    <w:rsid w:val="00365D57"/>
    <w:rsid w:val="00394CA2"/>
    <w:rsid w:val="003A1342"/>
    <w:rsid w:val="003B5911"/>
    <w:rsid w:val="003C4B08"/>
    <w:rsid w:val="003C714C"/>
    <w:rsid w:val="00404286"/>
    <w:rsid w:val="0040572D"/>
    <w:rsid w:val="00417582"/>
    <w:rsid w:val="0043536A"/>
    <w:rsid w:val="0043745F"/>
    <w:rsid w:val="00455988"/>
    <w:rsid w:val="00455E9B"/>
    <w:rsid w:val="0047185A"/>
    <w:rsid w:val="00472992"/>
    <w:rsid w:val="00474393"/>
    <w:rsid w:val="004A7365"/>
    <w:rsid w:val="004B2BD2"/>
    <w:rsid w:val="004F3128"/>
    <w:rsid w:val="00500593"/>
    <w:rsid w:val="005125E1"/>
    <w:rsid w:val="00530419"/>
    <w:rsid w:val="00536415"/>
    <w:rsid w:val="00541B3D"/>
    <w:rsid w:val="00580B80"/>
    <w:rsid w:val="00583FC3"/>
    <w:rsid w:val="005A16EC"/>
    <w:rsid w:val="005C0135"/>
    <w:rsid w:val="005E1CA8"/>
    <w:rsid w:val="005F55ED"/>
    <w:rsid w:val="006309A1"/>
    <w:rsid w:val="00637421"/>
    <w:rsid w:val="006417C5"/>
    <w:rsid w:val="00647401"/>
    <w:rsid w:val="0065430D"/>
    <w:rsid w:val="006616B3"/>
    <w:rsid w:val="00667065"/>
    <w:rsid w:val="006F1D88"/>
    <w:rsid w:val="00715B83"/>
    <w:rsid w:val="00723134"/>
    <w:rsid w:val="00727901"/>
    <w:rsid w:val="00754E10"/>
    <w:rsid w:val="007756BD"/>
    <w:rsid w:val="00791C30"/>
    <w:rsid w:val="007D188C"/>
    <w:rsid w:val="007D5634"/>
    <w:rsid w:val="007E0154"/>
    <w:rsid w:val="007F6DE8"/>
    <w:rsid w:val="00817BD5"/>
    <w:rsid w:val="00820BA7"/>
    <w:rsid w:val="00821A46"/>
    <w:rsid w:val="00823EC1"/>
    <w:rsid w:val="008271F4"/>
    <w:rsid w:val="008552AE"/>
    <w:rsid w:val="00855BD7"/>
    <w:rsid w:val="00867E32"/>
    <w:rsid w:val="008970CE"/>
    <w:rsid w:val="008A705D"/>
    <w:rsid w:val="008D1A60"/>
    <w:rsid w:val="008E52EC"/>
    <w:rsid w:val="008E6C76"/>
    <w:rsid w:val="008F22F2"/>
    <w:rsid w:val="00906A9A"/>
    <w:rsid w:val="009214D4"/>
    <w:rsid w:val="00937BF3"/>
    <w:rsid w:val="00942330"/>
    <w:rsid w:val="00957063"/>
    <w:rsid w:val="00977C8F"/>
    <w:rsid w:val="00980749"/>
    <w:rsid w:val="0098114D"/>
    <w:rsid w:val="0099159D"/>
    <w:rsid w:val="009959B2"/>
    <w:rsid w:val="009E6D05"/>
    <w:rsid w:val="00A069D8"/>
    <w:rsid w:val="00A072BF"/>
    <w:rsid w:val="00A12F22"/>
    <w:rsid w:val="00A15051"/>
    <w:rsid w:val="00A414B4"/>
    <w:rsid w:val="00A46334"/>
    <w:rsid w:val="00A47852"/>
    <w:rsid w:val="00A5784E"/>
    <w:rsid w:val="00A76BEC"/>
    <w:rsid w:val="00A9360C"/>
    <w:rsid w:val="00AB3140"/>
    <w:rsid w:val="00AB3672"/>
    <w:rsid w:val="00AC6BD2"/>
    <w:rsid w:val="00AD149E"/>
    <w:rsid w:val="00B07EC9"/>
    <w:rsid w:val="00B1300E"/>
    <w:rsid w:val="00B20F6D"/>
    <w:rsid w:val="00B244BF"/>
    <w:rsid w:val="00B25E2B"/>
    <w:rsid w:val="00B73786"/>
    <w:rsid w:val="00B7549D"/>
    <w:rsid w:val="00B958D0"/>
    <w:rsid w:val="00BB7FBC"/>
    <w:rsid w:val="00BE19E0"/>
    <w:rsid w:val="00C0613D"/>
    <w:rsid w:val="00C302EC"/>
    <w:rsid w:val="00C505DE"/>
    <w:rsid w:val="00C9075B"/>
    <w:rsid w:val="00C964AB"/>
    <w:rsid w:val="00CA3A17"/>
    <w:rsid w:val="00CA4724"/>
    <w:rsid w:val="00CA5873"/>
    <w:rsid w:val="00CB0111"/>
    <w:rsid w:val="00CB01EE"/>
    <w:rsid w:val="00CB2BC9"/>
    <w:rsid w:val="00CE2CFB"/>
    <w:rsid w:val="00CF3F04"/>
    <w:rsid w:val="00CF4DA9"/>
    <w:rsid w:val="00D453FD"/>
    <w:rsid w:val="00D466A5"/>
    <w:rsid w:val="00D56517"/>
    <w:rsid w:val="00D7370B"/>
    <w:rsid w:val="00D80415"/>
    <w:rsid w:val="00D853BC"/>
    <w:rsid w:val="00D95A3A"/>
    <w:rsid w:val="00DA2D24"/>
    <w:rsid w:val="00DA5AC3"/>
    <w:rsid w:val="00DB74FC"/>
    <w:rsid w:val="00DD39C2"/>
    <w:rsid w:val="00DE6FFE"/>
    <w:rsid w:val="00DF3566"/>
    <w:rsid w:val="00E04EAE"/>
    <w:rsid w:val="00E06634"/>
    <w:rsid w:val="00E15C8D"/>
    <w:rsid w:val="00E44035"/>
    <w:rsid w:val="00E51A54"/>
    <w:rsid w:val="00E65498"/>
    <w:rsid w:val="00E71F79"/>
    <w:rsid w:val="00E8019B"/>
    <w:rsid w:val="00E965A9"/>
    <w:rsid w:val="00EA38AB"/>
    <w:rsid w:val="00EB5FA2"/>
    <w:rsid w:val="00ED0FE2"/>
    <w:rsid w:val="00EF451F"/>
    <w:rsid w:val="00F1346E"/>
    <w:rsid w:val="00F244A6"/>
    <w:rsid w:val="00F51BA5"/>
    <w:rsid w:val="00F56AF1"/>
    <w:rsid w:val="00F636C0"/>
    <w:rsid w:val="00F87A67"/>
    <w:rsid w:val="00F95829"/>
    <w:rsid w:val="00FB12FB"/>
    <w:rsid w:val="00FC57CA"/>
    <w:rsid w:val="1FD6012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cs="Times New Roman"/>
      <w:sz w:val="18"/>
      <w:szCs w:val="18"/>
    </w:rPr>
  </w:style>
  <w:style w:type="character" w:customStyle="1" w:styleId="7">
    <w:name w:val="Footer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gsc</Company>
  <Pages>5</Pages>
  <Words>401</Words>
  <Characters>2291</Characters>
  <Lines>0</Lines>
  <Paragraphs>0</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2015-01-27T03:49:00Z</dcterms:created>
  <dc:creator>zhu</dc:creator>
  <cp:lastModifiedBy>Administrator</cp:lastModifiedBy>
  <cp:lastPrinted>2015-05-28T11:14:21Z</cp:lastPrinted>
  <dcterms:modified xsi:type="dcterms:W3CDTF">2015-05-28T11:14:24Z</dcterms:modified>
  <dc:title>与相关部门的职责边界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