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办理流程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（一）申请。申请人向登记管理机关提出设立登记请求。申请人应当如实填写有关申请材料，并对提交的申请材料的真实性负责。　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（二）受理。登记管理机关对申请人提交的登记申请材料进行初步审查，作出受理或者不予受理的决定，受理的出具受理通知单，不予受理的说明理由。登记申请不属于本登记管理机关管辖范围的， 即时作出不予受理的决定，并告知申请人向有关机关申请。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登记申请不符合法定条件的，于 3 个工作日内作出不予受理的决定，并说明理由。申请材料存在可以当场更正的错误的，允许申请人当场更正。申请材料不齐全或者不符合法定形式的，当场或者在 3 个工作日内一次告知申请人需要补正的全部内容，逾期不告知的，自收到申请材料之日起即为受理。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（三）审查。登记管理机关审查申请人是否符合规定的登记条件。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（四） 核准。登记管理机关对申请人作出准予登记或者不予登记的决定。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（五）发证。登记管理机关给核准登记的事业单位颁发《事业单位法人证书》。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（六）公告。登记管理机关对核准登记的有关事项予以公告。公告网址为：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instrText xml:space="preserve"> HYPERLINK "http://www.gjsy.gov.cn/" \t "http://www.gjsy.gov.cn/djglsl/201512/_blank"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t>http://gjsy.gov.cn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B4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