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02"/>
        </w:tabs>
        <w:spacing w:after="312" w:afterLines="100" w:line="720" w:lineRule="exact"/>
        <w:jc w:val="center"/>
        <w:rPr>
          <w:rFonts w:hint="eastAsia" w:asciiTheme="majorEastAsia" w:hAnsiTheme="majorEastAsia" w:eastAsiaTheme="majorEastAsia" w:cstheme="majorEastAsia"/>
          <w:b/>
          <w:w w:val="90"/>
          <w:sz w:val="44"/>
          <w:szCs w:val="44"/>
        </w:rPr>
      </w:pPr>
      <w:r>
        <w:rPr>
          <w:rFonts w:hint="eastAsia" w:asciiTheme="majorEastAsia" w:hAnsiTheme="majorEastAsia" w:eastAsiaTheme="majorEastAsia" w:cstheme="majorEastAsia"/>
          <w:b/>
          <w:w w:val="90"/>
          <w:sz w:val="44"/>
          <w:szCs w:val="44"/>
        </w:rPr>
        <w:t>涉县经济开发区管委会</w:t>
      </w:r>
      <w:r>
        <w:rPr>
          <w:rFonts w:hint="eastAsia" w:asciiTheme="majorEastAsia" w:hAnsiTheme="majorEastAsia" w:eastAsiaTheme="majorEastAsia" w:cstheme="majorEastAsia"/>
          <w:b/>
          <w:w w:val="90"/>
          <w:sz w:val="44"/>
          <w:szCs w:val="44"/>
          <w:lang w:eastAsia="zh-CN"/>
        </w:rPr>
        <w:t>行政</w:t>
      </w:r>
      <w:r>
        <w:rPr>
          <w:rFonts w:hint="eastAsia" w:asciiTheme="majorEastAsia" w:hAnsiTheme="majorEastAsia" w:eastAsiaTheme="majorEastAsia" w:cstheme="majorEastAsia"/>
          <w:b/>
          <w:w w:val="90"/>
          <w:sz w:val="44"/>
          <w:szCs w:val="44"/>
        </w:rPr>
        <w:t>权力清单</w:t>
      </w:r>
    </w:p>
    <w:tbl>
      <w:tblPr>
        <w:tblStyle w:val="3"/>
        <w:tblW w:w="12791"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28"/>
        <w:gridCol w:w="1343"/>
        <w:gridCol w:w="900"/>
        <w:gridCol w:w="3240"/>
        <w:gridCol w:w="1258"/>
        <w:gridCol w:w="1170"/>
        <w:gridCol w:w="2025"/>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972" w:type="dxa"/>
            <w:vAlign w:val="center"/>
          </w:tcPr>
          <w:p>
            <w:pPr>
              <w:widowControl/>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行政权力类别</w:t>
            </w:r>
          </w:p>
        </w:tc>
        <w:tc>
          <w:tcPr>
            <w:tcW w:w="828" w:type="dxa"/>
            <w:vAlign w:val="center"/>
          </w:tcPr>
          <w:p>
            <w:pPr>
              <w:widowControl/>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项目编码</w:t>
            </w:r>
          </w:p>
        </w:tc>
        <w:tc>
          <w:tcPr>
            <w:tcW w:w="1343" w:type="dxa"/>
            <w:vAlign w:val="center"/>
          </w:tcPr>
          <w:p>
            <w:pPr>
              <w:widowControl/>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项目名称</w:t>
            </w:r>
          </w:p>
        </w:tc>
        <w:tc>
          <w:tcPr>
            <w:tcW w:w="900" w:type="dxa"/>
            <w:vAlign w:val="center"/>
          </w:tcPr>
          <w:p>
            <w:pPr>
              <w:widowControl/>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承办机构</w:t>
            </w:r>
          </w:p>
        </w:tc>
        <w:tc>
          <w:tcPr>
            <w:tcW w:w="3240" w:type="dxa"/>
            <w:vAlign w:val="center"/>
          </w:tcPr>
          <w:p>
            <w:pPr>
              <w:widowControl/>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设定依据</w:t>
            </w:r>
          </w:p>
        </w:tc>
        <w:tc>
          <w:tcPr>
            <w:tcW w:w="1258" w:type="dxa"/>
            <w:vAlign w:val="center"/>
          </w:tcPr>
          <w:p>
            <w:pPr>
              <w:widowControl/>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实施对象</w:t>
            </w:r>
          </w:p>
        </w:tc>
        <w:tc>
          <w:tcPr>
            <w:tcW w:w="1170" w:type="dxa"/>
            <w:vAlign w:val="center"/>
          </w:tcPr>
          <w:p>
            <w:pPr>
              <w:widowControl/>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办理时限</w:t>
            </w:r>
          </w:p>
        </w:tc>
        <w:tc>
          <w:tcPr>
            <w:tcW w:w="2025" w:type="dxa"/>
            <w:vAlign w:val="center"/>
          </w:tcPr>
          <w:p>
            <w:pPr>
              <w:widowControl/>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收费依据和标准</w:t>
            </w:r>
          </w:p>
        </w:tc>
        <w:tc>
          <w:tcPr>
            <w:tcW w:w="1055" w:type="dxa"/>
            <w:vAlign w:val="center"/>
          </w:tcPr>
          <w:p>
            <w:pPr>
              <w:widowControl/>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72"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其他类</w:t>
            </w:r>
          </w:p>
        </w:tc>
        <w:tc>
          <w:tcPr>
            <w:tcW w:w="828" w:type="dxa"/>
            <w:vAlign w:val="center"/>
          </w:tcPr>
          <w:p>
            <w:pPr>
              <w:widowControl w:val="0"/>
              <w:jc w:val="center"/>
              <w:rPr>
                <w:rFonts w:hint="eastAsia" w:asciiTheme="minorEastAsia" w:hAnsiTheme="minorEastAsia" w:eastAsiaTheme="minorEastAsia" w:cstheme="minorEastAsia"/>
                <w:kern w:val="2"/>
                <w:sz w:val="20"/>
                <w:szCs w:val="20"/>
                <w:lang w:val="en-US" w:eastAsia="zh-CN"/>
              </w:rPr>
            </w:pPr>
            <w:r>
              <w:rPr>
                <w:rFonts w:hint="eastAsia" w:asciiTheme="minorEastAsia" w:hAnsiTheme="minorEastAsia" w:eastAsiaTheme="minorEastAsia" w:cstheme="minorEastAsia"/>
                <w:kern w:val="2"/>
                <w:sz w:val="20"/>
                <w:szCs w:val="20"/>
                <w:lang w:val="en-US" w:eastAsia="zh-CN"/>
              </w:rPr>
              <w:t>37901</w:t>
            </w:r>
          </w:p>
        </w:tc>
        <w:tc>
          <w:tcPr>
            <w:tcW w:w="1343" w:type="dxa"/>
            <w:vAlign w:val="center"/>
          </w:tcPr>
          <w:p>
            <w:pPr>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企业、事业单位、社会团体等投资建设的固定资产投资项目核准</w:t>
            </w:r>
          </w:p>
        </w:tc>
        <w:tc>
          <w:tcPr>
            <w:tcW w:w="900" w:type="dxa"/>
            <w:vAlign w:val="center"/>
          </w:tcPr>
          <w:p>
            <w:pPr>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经发局</w:t>
            </w:r>
          </w:p>
        </w:tc>
        <w:tc>
          <w:tcPr>
            <w:tcW w:w="324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国务院对确需保留的行政审批项目设定行政许可的决定》（2004年6月29日国务院令第412号，2009年1月29日予以修改）备注1：鉴于投资体制改革正在进行，涉及固定资产投资项目的行政许可仍按国务院现行规定办理。</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国务院关于投资体制改革的决定》（国发〔2004〕20号）：第二部分第（一）：……对于企业不使用政府投资建设的项目，一律不再实行审批制……其中，政府仅对重大项目和限制类项目从维护社会公共利益角度进行核准。</w:t>
            </w:r>
          </w:p>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3.《国务院关于发布政府核准的投资项目目录（2016年本）的通知》（国发〔2016〕72号） ：一、企业投资建设本目录内的固定资产投资项目，须按照规定报送有关项目核准机关核准。</w:t>
            </w:r>
          </w:p>
        </w:tc>
        <w:tc>
          <w:tcPr>
            <w:tcW w:w="1258"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33333"/>
                <w:sz w:val="20"/>
                <w:szCs w:val="20"/>
                <w:shd w:val="clear" w:color="auto" w:fill="FFFFFF"/>
              </w:rPr>
              <w:t>企业、事业单位、社会团体、自然人</w:t>
            </w:r>
          </w:p>
        </w:tc>
        <w:tc>
          <w:tcPr>
            <w:tcW w:w="1170"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3个工</w:t>
            </w:r>
            <w:bookmarkStart w:id="0" w:name="_GoBack"/>
            <w:bookmarkEnd w:id="0"/>
            <w:r>
              <w:rPr>
                <w:rFonts w:hint="eastAsia" w:asciiTheme="minorEastAsia" w:hAnsiTheme="minorEastAsia" w:eastAsiaTheme="minorEastAsia" w:cstheme="minorEastAsia"/>
                <w:sz w:val="20"/>
                <w:szCs w:val="20"/>
              </w:rPr>
              <w:t>作日</w:t>
            </w:r>
          </w:p>
        </w:tc>
        <w:tc>
          <w:tcPr>
            <w:tcW w:w="2025"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不收费</w:t>
            </w:r>
          </w:p>
        </w:tc>
        <w:tc>
          <w:tcPr>
            <w:tcW w:w="1055" w:type="dxa"/>
            <w:vAlign w:val="center"/>
          </w:tcPr>
          <w:p>
            <w:pPr>
              <w:widowControl w:val="0"/>
              <w:jc w:val="center"/>
              <w:rPr>
                <w:rFonts w:hint="eastAsia" w:asciiTheme="minorEastAsia" w:hAnsiTheme="minorEastAsia" w:eastAsiaTheme="minorEastAsia" w:cstheme="minorEastAsia"/>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72"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其他类</w:t>
            </w:r>
          </w:p>
        </w:tc>
        <w:tc>
          <w:tcPr>
            <w:tcW w:w="828" w:type="dxa"/>
            <w:vAlign w:val="center"/>
          </w:tcPr>
          <w:p>
            <w:pPr>
              <w:widowControl w:val="0"/>
              <w:jc w:val="center"/>
              <w:rPr>
                <w:rFonts w:hint="eastAsia" w:asciiTheme="minorEastAsia" w:hAnsiTheme="minorEastAsia" w:eastAsiaTheme="minorEastAsia" w:cstheme="minorEastAsia"/>
                <w:kern w:val="2"/>
                <w:sz w:val="20"/>
                <w:szCs w:val="20"/>
                <w:lang w:val="en-US" w:eastAsia="zh-CN"/>
              </w:rPr>
            </w:pPr>
            <w:r>
              <w:rPr>
                <w:rFonts w:hint="eastAsia" w:asciiTheme="minorEastAsia" w:hAnsiTheme="minorEastAsia" w:eastAsiaTheme="minorEastAsia" w:cstheme="minorEastAsia"/>
                <w:kern w:val="2"/>
                <w:sz w:val="20"/>
                <w:szCs w:val="20"/>
                <w:lang w:val="en-US" w:eastAsia="zh-CN"/>
              </w:rPr>
              <w:t>37902</w:t>
            </w:r>
          </w:p>
        </w:tc>
        <w:tc>
          <w:tcPr>
            <w:tcW w:w="1343"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车用天然气加气站及天然气储气项目核准</w:t>
            </w:r>
          </w:p>
        </w:tc>
        <w:tc>
          <w:tcPr>
            <w:tcW w:w="900"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2"/>
                <w:sz w:val="20"/>
                <w:szCs w:val="20"/>
              </w:rPr>
              <w:t>经发局</w:t>
            </w:r>
          </w:p>
        </w:tc>
        <w:tc>
          <w:tcPr>
            <w:tcW w:w="3240"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1.《国务院对确需保留的行政审批项目设定行政许可的决定》（2004年6月29日国务院令第412号，2009年1月29日予以修改）备注1：鉴于投资体制改革正在进行，涉及固定资产投资项目的行政许可仍按国务院现行规定办理。2.《国务院关于投资体制改革的决定》（国发〔2004〕20号）：第二部分第（一）：……对于企业不使用政府投资建设的项目，一律不再实行审批制……其中，政府仅对重大项目和限制类项目从维护社会公共利益角度进行核准。3.《国务院关于发布政府核准的投资项目目录（2016年本）的通知》（国发〔2016〕72号） ：一、企业投资建设本目录内的固定资产投资项目，须按照规定报送有关项目核准机关核准。</w:t>
            </w:r>
          </w:p>
        </w:tc>
        <w:tc>
          <w:tcPr>
            <w:tcW w:w="1258"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33333"/>
                <w:sz w:val="20"/>
                <w:szCs w:val="20"/>
                <w:shd w:val="clear" w:color="auto" w:fill="FFFFFF"/>
              </w:rPr>
              <w:t>企业、事业单位、社会团体、自然人</w:t>
            </w:r>
          </w:p>
        </w:tc>
        <w:tc>
          <w:tcPr>
            <w:tcW w:w="1170"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3个工作日</w:t>
            </w:r>
          </w:p>
        </w:tc>
        <w:tc>
          <w:tcPr>
            <w:tcW w:w="2025"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不收费</w:t>
            </w:r>
          </w:p>
        </w:tc>
        <w:tc>
          <w:tcPr>
            <w:tcW w:w="1055" w:type="dxa"/>
            <w:vAlign w:val="center"/>
          </w:tcPr>
          <w:p>
            <w:pPr>
              <w:widowControl w:val="0"/>
              <w:jc w:val="center"/>
              <w:rPr>
                <w:rFonts w:hint="eastAsia" w:asciiTheme="minorEastAsia" w:hAnsiTheme="minorEastAsia" w:eastAsiaTheme="minorEastAsia" w:cstheme="minorEastAsia"/>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972"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其他类</w:t>
            </w:r>
          </w:p>
        </w:tc>
        <w:tc>
          <w:tcPr>
            <w:tcW w:w="828" w:type="dxa"/>
            <w:vAlign w:val="center"/>
          </w:tcPr>
          <w:p>
            <w:pPr>
              <w:widowControl w:val="0"/>
              <w:jc w:val="center"/>
              <w:rPr>
                <w:rFonts w:hint="eastAsia" w:asciiTheme="minorEastAsia" w:hAnsiTheme="minorEastAsia" w:eastAsiaTheme="minorEastAsia" w:cstheme="minorEastAsia"/>
                <w:kern w:val="2"/>
                <w:sz w:val="20"/>
                <w:szCs w:val="20"/>
                <w:lang w:val="en-US" w:eastAsia="zh-CN"/>
              </w:rPr>
            </w:pPr>
            <w:r>
              <w:rPr>
                <w:rFonts w:hint="eastAsia" w:asciiTheme="minorEastAsia" w:hAnsiTheme="minorEastAsia" w:eastAsiaTheme="minorEastAsia" w:cstheme="minorEastAsia"/>
                <w:kern w:val="2"/>
                <w:sz w:val="20"/>
                <w:szCs w:val="20"/>
                <w:lang w:val="en-US" w:eastAsia="zh-CN"/>
              </w:rPr>
              <w:t>37903</w:t>
            </w:r>
          </w:p>
        </w:tc>
        <w:tc>
          <w:tcPr>
            <w:tcW w:w="1343"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外商投资企业实力及企业变更核准</w:t>
            </w:r>
          </w:p>
        </w:tc>
        <w:tc>
          <w:tcPr>
            <w:tcW w:w="900"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2"/>
                <w:sz w:val="20"/>
                <w:szCs w:val="20"/>
              </w:rPr>
              <w:t>经发局</w:t>
            </w:r>
          </w:p>
        </w:tc>
        <w:tc>
          <w:tcPr>
            <w:tcW w:w="3240"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商务部关于下放外商投资审批权限有关问题的通知》《国务院关于进一步做好利用外资工作的若干意见》《外商投资企业设立及变更备案管理暂行办法》《中华人民共和国中外合资经营企业法》、《中华人民共和国中外合作经营企业法》、《中华人民共和国外资企业法》</w:t>
            </w:r>
          </w:p>
        </w:tc>
        <w:tc>
          <w:tcPr>
            <w:tcW w:w="1258"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33333"/>
                <w:sz w:val="20"/>
                <w:szCs w:val="20"/>
                <w:shd w:val="clear" w:color="auto" w:fill="FFFFFF"/>
              </w:rPr>
              <w:t>企业、事业单位、社会团体、自然人</w:t>
            </w:r>
          </w:p>
        </w:tc>
        <w:tc>
          <w:tcPr>
            <w:tcW w:w="1170"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3个工作日</w:t>
            </w:r>
          </w:p>
        </w:tc>
        <w:tc>
          <w:tcPr>
            <w:tcW w:w="2025"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不收费</w:t>
            </w:r>
          </w:p>
        </w:tc>
        <w:tc>
          <w:tcPr>
            <w:tcW w:w="1055" w:type="dxa"/>
            <w:vAlign w:val="center"/>
          </w:tcPr>
          <w:p>
            <w:pPr>
              <w:widowControl w:val="0"/>
              <w:jc w:val="center"/>
              <w:rPr>
                <w:rFonts w:hint="eastAsia" w:asciiTheme="minorEastAsia" w:hAnsiTheme="minorEastAsia" w:eastAsiaTheme="minorEastAsia" w:cstheme="minorEastAsia"/>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72"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其他类</w:t>
            </w:r>
          </w:p>
        </w:tc>
        <w:tc>
          <w:tcPr>
            <w:tcW w:w="828" w:type="dxa"/>
            <w:vAlign w:val="center"/>
          </w:tcPr>
          <w:p>
            <w:pPr>
              <w:widowControl w:val="0"/>
              <w:jc w:val="center"/>
              <w:rPr>
                <w:rFonts w:hint="eastAsia" w:asciiTheme="minorEastAsia" w:hAnsiTheme="minorEastAsia" w:eastAsiaTheme="minorEastAsia" w:cstheme="minorEastAsia"/>
                <w:kern w:val="2"/>
                <w:sz w:val="20"/>
                <w:szCs w:val="20"/>
                <w:lang w:val="en-US" w:eastAsia="zh-CN"/>
              </w:rPr>
            </w:pPr>
            <w:r>
              <w:rPr>
                <w:rFonts w:hint="eastAsia" w:asciiTheme="minorEastAsia" w:hAnsiTheme="minorEastAsia" w:eastAsiaTheme="minorEastAsia" w:cstheme="minorEastAsia"/>
                <w:kern w:val="2"/>
                <w:sz w:val="20"/>
                <w:szCs w:val="20"/>
                <w:lang w:val="en-US" w:eastAsia="zh-CN"/>
              </w:rPr>
              <w:t>37904</w:t>
            </w:r>
          </w:p>
        </w:tc>
        <w:tc>
          <w:tcPr>
            <w:tcW w:w="1343"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投资总额3亿美元以上不需国家综合平衡的鼓励类外商投资企业设立及变更审批</w:t>
            </w:r>
          </w:p>
        </w:tc>
        <w:tc>
          <w:tcPr>
            <w:tcW w:w="900"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2"/>
                <w:sz w:val="20"/>
                <w:szCs w:val="20"/>
              </w:rPr>
              <w:t>经发局</w:t>
            </w:r>
          </w:p>
        </w:tc>
        <w:tc>
          <w:tcPr>
            <w:tcW w:w="3240"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商务部关于下放外商投资审批权限有关问题的通知》《国务院关于进一步做好利用外资工作的若干意见》《外商投资企业设立及变更备案管理暂行办法》《中华人民共和国中外合资经营企业法》、《中华人民共和国中外合作经营企业法》、《中华人民共和国外资企业法》</w:t>
            </w:r>
          </w:p>
        </w:tc>
        <w:tc>
          <w:tcPr>
            <w:tcW w:w="1258"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33333"/>
                <w:sz w:val="20"/>
                <w:szCs w:val="20"/>
                <w:shd w:val="clear" w:color="auto" w:fill="FFFFFF"/>
              </w:rPr>
              <w:t>企业、事业单位、社会团体、自然人</w:t>
            </w:r>
          </w:p>
        </w:tc>
        <w:tc>
          <w:tcPr>
            <w:tcW w:w="1170"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3个工作日</w:t>
            </w:r>
          </w:p>
        </w:tc>
        <w:tc>
          <w:tcPr>
            <w:tcW w:w="2025"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不收费</w:t>
            </w:r>
          </w:p>
        </w:tc>
        <w:tc>
          <w:tcPr>
            <w:tcW w:w="1055" w:type="dxa"/>
            <w:vAlign w:val="center"/>
          </w:tcPr>
          <w:p>
            <w:pPr>
              <w:widowControl w:val="0"/>
              <w:jc w:val="center"/>
              <w:rPr>
                <w:rFonts w:hint="eastAsia" w:asciiTheme="minorEastAsia" w:hAnsiTheme="minorEastAsia" w:eastAsiaTheme="minorEastAsia" w:cstheme="minorEastAsia"/>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72"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其他类</w:t>
            </w:r>
          </w:p>
        </w:tc>
        <w:tc>
          <w:tcPr>
            <w:tcW w:w="828" w:type="dxa"/>
            <w:vAlign w:val="center"/>
          </w:tcPr>
          <w:p>
            <w:pPr>
              <w:widowControl w:val="0"/>
              <w:jc w:val="center"/>
              <w:rPr>
                <w:rFonts w:hint="eastAsia" w:asciiTheme="minorEastAsia" w:hAnsiTheme="minorEastAsia" w:eastAsiaTheme="minorEastAsia" w:cstheme="minorEastAsia"/>
                <w:kern w:val="2"/>
                <w:sz w:val="20"/>
                <w:szCs w:val="20"/>
                <w:lang w:val="en-US" w:eastAsia="zh-CN"/>
              </w:rPr>
            </w:pPr>
            <w:r>
              <w:rPr>
                <w:rFonts w:hint="eastAsia" w:asciiTheme="minorEastAsia" w:hAnsiTheme="minorEastAsia" w:eastAsiaTheme="minorEastAsia" w:cstheme="minorEastAsia"/>
                <w:kern w:val="2"/>
                <w:sz w:val="20"/>
                <w:szCs w:val="20"/>
                <w:lang w:val="en-US" w:eastAsia="zh-CN"/>
              </w:rPr>
              <w:t>37905</w:t>
            </w:r>
          </w:p>
        </w:tc>
        <w:tc>
          <w:tcPr>
            <w:tcW w:w="1343"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固定资产投资项目节能评估和审查</w:t>
            </w:r>
          </w:p>
        </w:tc>
        <w:tc>
          <w:tcPr>
            <w:tcW w:w="90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2"/>
                <w:sz w:val="20"/>
                <w:szCs w:val="20"/>
              </w:rPr>
              <w:t>经发局</w:t>
            </w:r>
          </w:p>
        </w:tc>
        <w:tc>
          <w:tcPr>
            <w:tcW w:w="324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中华人民共和国节约能源法》（1997年11月1日主席令第九十号，2007年10月28日予以修改）第十五条：国家实行固定资产投资项目节能评估和审查制度。不符合强制性节能标准的项目，依法负责项目审批或者核准的机关不得批准或核准建设；建设单位不得开工建设；已经建成的，不得投入生产、使用。具体办法由国务院管理节能工作的部门会同国务院有关部门制定。</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国务院关于加强节能工作的决定》（国发〔2006〕28号）第二十三条：建立固定资产投资项目节能评估和审查制度。有关部门和地方人民政府要对固定资产投资项目（含新建、改建、扩建项目）进行节能评估和审查。</w:t>
            </w:r>
          </w:p>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3.《固定资产投资项目节能审查办法》（2016年国家发展和改革委员会令第44号）第五条：固定资产投资项目节能审查由地方节能审查机关负责。</w:t>
            </w:r>
          </w:p>
        </w:tc>
        <w:tc>
          <w:tcPr>
            <w:tcW w:w="1258"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33333"/>
                <w:sz w:val="20"/>
                <w:szCs w:val="20"/>
                <w:shd w:val="clear" w:color="auto" w:fill="FFFFFF"/>
              </w:rPr>
              <w:t>企业、事业单位、社会团体、自然人</w:t>
            </w:r>
          </w:p>
        </w:tc>
        <w:tc>
          <w:tcPr>
            <w:tcW w:w="1170"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3个工作日</w:t>
            </w:r>
          </w:p>
        </w:tc>
        <w:tc>
          <w:tcPr>
            <w:tcW w:w="2025"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不收费</w:t>
            </w:r>
          </w:p>
        </w:tc>
        <w:tc>
          <w:tcPr>
            <w:tcW w:w="1055" w:type="dxa"/>
            <w:vAlign w:val="center"/>
          </w:tcPr>
          <w:p>
            <w:pPr>
              <w:widowControl w:val="0"/>
              <w:jc w:val="center"/>
              <w:rPr>
                <w:rFonts w:hint="eastAsia" w:asciiTheme="minorEastAsia" w:hAnsiTheme="minorEastAsia" w:eastAsiaTheme="minorEastAsia" w:cstheme="minorEastAsia"/>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72" w:type="dxa"/>
            <w:vAlign w:val="center"/>
          </w:tcPr>
          <w:p>
            <w:pPr>
              <w:widowControl w:val="0"/>
              <w:ind w:firstLine="100" w:firstLineChars="5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kern w:val="2"/>
                <w:sz w:val="20"/>
                <w:szCs w:val="20"/>
              </w:rPr>
              <w:t>其他类</w:t>
            </w:r>
          </w:p>
        </w:tc>
        <w:tc>
          <w:tcPr>
            <w:tcW w:w="828" w:type="dxa"/>
            <w:vAlign w:val="center"/>
          </w:tcPr>
          <w:p>
            <w:pPr>
              <w:widowControl w:val="0"/>
              <w:jc w:val="both"/>
              <w:rPr>
                <w:rFonts w:hint="eastAsia" w:asciiTheme="minorEastAsia" w:hAnsiTheme="minorEastAsia" w:eastAsiaTheme="minorEastAsia" w:cstheme="minorEastAsia"/>
                <w:kern w:val="2"/>
                <w:sz w:val="20"/>
                <w:szCs w:val="20"/>
                <w:lang w:val="en-US" w:eastAsia="zh-CN"/>
              </w:rPr>
            </w:pPr>
            <w:r>
              <w:rPr>
                <w:rFonts w:hint="eastAsia" w:asciiTheme="minorEastAsia" w:hAnsiTheme="minorEastAsia" w:eastAsiaTheme="minorEastAsia" w:cstheme="minorEastAsia"/>
                <w:kern w:val="2"/>
                <w:sz w:val="20"/>
                <w:szCs w:val="20"/>
                <w:lang w:val="en-US" w:eastAsia="zh-CN"/>
              </w:rPr>
              <w:t>37906</w:t>
            </w:r>
          </w:p>
        </w:tc>
        <w:tc>
          <w:tcPr>
            <w:tcW w:w="1343" w:type="dxa"/>
            <w:vAlign w:val="center"/>
          </w:tcPr>
          <w:p>
            <w:pPr>
              <w:widowControl w:val="0"/>
              <w:ind w:firstLine="500" w:firstLineChars="25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固定资产投资项目备案</w:t>
            </w:r>
          </w:p>
        </w:tc>
        <w:tc>
          <w:tcPr>
            <w:tcW w:w="900"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2"/>
                <w:sz w:val="20"/>
                <w:szCs w:val="20"/>
              </w:rPr>
              <w:t>经发局</w:t>
            </w:r>
          </w:p>
        </w:tc>
        <w:tc>
          <w:tcPr>
            <w:tcW w:w="3240"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1.《国务院关于投资体制改革的决定》（国发〔2004〕20号）；2.《河北省人民政府办公厅关于公布固定资产投资项目保留合并或并联办理行政许可和行政审批事项的通知》（冀政〔2009〕25号）</w:t>
            </w:r>
          </w:p>
        </w:tc>
        <w:tc>
          <w:tcPr>
            <w:tcW w:w="1258"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33333"/>
                <w:sz w:val="20"/>
                <w:szCs w:val="20"/>
                <w:shd w:val="clear" w:color="auto" w:fill="FFFFFF"/>
              </w:rPr>
              <w:t>企业、事业单位、社会团体、自然人</w:t>
            </w:r>
          </w:p>
        </w:tc>
        <w:tc>
          <w:tcPr>
            <w:tcW w:w="1170" w:type="dxa"/>
            <w:vAlign w:val="center"/>
          </w:tcPr>
          <w:p>
            <w:pPr>
              <w:widowControl w:val="0"/>
              <w:jc w:val="center"/>
              <w:rPr>
                <w:rFonts w:hint="eastAsia" w:asciiTheme="minorEastAsia" w:hAnsiTheme="minorEastAsia" w:eastAsiaTheme="minorEastAsia" w:cstheme="minorEastAsia"/>
                <w:kern w:val="2"/>
                <w:sz w:val="20"/>
                <w:szCs w:val="20"/>
              </w:rPr>
            </w:pPr>
            <w:r>
              <w:rPr>
                <w:rFonts w:hint="eastAsia" w:asciiTheme="minorEastAsia" w:hAnsiTheme="minorEastAsia" w:eastAsiaTheme="minorEastAsia" w:cstheme="minorEastAsia"/>
                <w:sz w:val="20"/>
                <w:szCs w:val="20"/>
              </w:rPr>
              <w:t>1个工作日</w:t>
            </w:r>
          </w:p>
        </w:tc>
        <w:tc>
          <w:tcPr>
            <w:tcW w:w="2025" w:type="dxa"/>
            <w:vAlign w:val="center"/>
          </w:tcPr>
          <w:p>
            <w:pPr>
              <w:widowControl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不收费</w:t>
            </w:r>
          </w:p>
        </w:tc>
        <w:tc>
          <w:tcPr>
            <w:tcW w:w="1055" w:type="dxa"/>
            <w:vAlign w:val="center"/>
          </w:tcPr>
          <w:p>
            <w:pPr>
              <w:widowControl w:val="0"/>
              <w:jc w:val="center"/>
              <w:rPr>
                <w:rFonts w:hint="eastAsia" w:asciiTheme="minorEastAsia" w:hAnsiTheme="minorEastAsia" w:eastAsiaTheme="minorEastAsia" w:cstheme="minorEastAsia"/>
                <w:kern w:val="2"/>
                <w:sz w:val="20"/>
                <w:szCs w:val="20"/>
              </w:rPr>
            </w:pPr>
          </w:p>
        </w:tc>
      </w:tr>
    </w:tbl>
    <w:p>
      <w:pPr>
        <w:spacing w:line="220" w:lineRule="atLeast"/>
        <w:rPr>
          <w:rFonts w:hint="eastAsia" w:asciiTheme="minorEastAsia" w:hAnsiTheme="minorEastAsia" w:eastAsiaTheme="minorEastAsia" w:cstheme="minorEastAsia"/>
          <w:sz w:val="20"/>
          <w:szCs w:val="20"/>
        </w:rPr>
      </w:pPr>
    </w:p>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184A27"/>
    <w:rsid w:val="001F69E4"/>
    <w:rsid w:val="002131A2"/>
    <w:rsid w:val="002E4D72"/>
    <w:rsid w:val="00301D60"/>
    <w:rsid w:val="00323B43"/>
    <w:rsid w:val="00347B5B"/>
    <w:rsid w:val="003D37D8"/>
    <w:rsid w:val="00426133"/>
    <w:rsid w:val="004358AB"/>
    <w:rsid w:val="004802AE"/>
    <w:rsid w:val="004E7469"/>
    <w:rsid w:val="006572B0"/>
    <w:rsid w:val="006F41C9"/>
    <w:rsid w:val="0083422F"/>
    <w:rsid w:val="008A4F29"/>
    <w:rsid w:val="008B7726"/>
    <w:rsid w:val="0095691A"/>
    <w:rsid w:val="009D643B"/>
    <w:rsid w:val="009F4E40"/>
    <w:rsid w:val="00A36CA7"/>
    <w:rsid w:val="00AC5EA2"/>
    <w:rsid w:val="00AF3CA8"/>
    <w:rsid w:val="00B2158D"/>
    <w:rsid w:val="00B94CD4"/>
    <w:rsid w:val="00BA5762"/>
    <w:rsid w:val="00C577E0"/>
    <w:rsid w:val="00D31D50"/>
    <w:rsid w:val="00D711B0"/>
    <w:rsid w:val="00E1509A"/>
    <w:rsid w:val="00E34666"/>
    <w:rsid w:val="00F07963"/>
    <w:rsid w:val="00F1158B"/>
    <w:rsid w:val="0725253C"/>
    <w:rsid w:val="19FA52E7"/>
    <w:rsid w:val="50A353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263</Words>
  <Characters>1504</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2017-10-25T06:09:00Z</cp:lastPrinted>
  <dcterms:modified xsi:type="dcterms:W3CDTF">2017-11-16T01:53:12Z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