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75F" w:rsidRDefault="00330D23">
      <w:pPr>
        <w:pStyle w:val="1"/>
        <w:spacing w:before="0" w:after="0" w:line="584" w:lineRule="exact"/>
        <w:jc w:val="center"/>
        <w:rPr>
          <w:rFonts w:ascii="仿宋" w:eastAsia="仿宋" w:hAnsi="仿宋"/>
          <w:b w:val="0"/>
          <w:color w:val="000000"/>
          <w:kern w:val="0"/>
        </w:rPr>
      </w:pPr>
      <w:r>
        <w:rPr>
          <w:rFonts w:ascii="仿宋" w:eastAsia="仿宋" w:hAnsi="仿宋"/>
          <w:b w:val="0"/>
          <w:color w:val="000000"/>
          <w:kern w:val="0"/>
        </w:rPr>
        <w:t>第三部分部门决算情况说明</w:t>
      </w:r>
    </w:p>
    <w:p w:rsidR="00EB675F" w:rsidRDefault="00EB675F"/>
    <w:p w:rsidR="00EB675F" w:rsidRDefault="00330D23">
      <w:pPr>
        <w:pStyle w:val="2"/>
        <w:spacing w:before="0" w:after="0" w:line="584" w:lineRule="exact"/>
        <w:ind w:firstLineChars="200" w:firstLine="640"/>
        <w:rPr>
          <w:rFonts w:ascii="Times New Roman" w:eastAsia="黑体" w:hAnsi="Times New Roman"/>
          <w:b w:val="0"/>
        </w:rPr>
      </w:pPr>
      <w:r>
        <w:rPr>
          <w:rFonts w:ascii="Times New Roman" w:eastAsia="黑体" w:hAnsi="Times New Roman"/>
          <w:b w:val="0"/>
        </w:rPr>
        <w:t>一、收入</w:t>
      </w:r>
      <w:r>
        <w:rPr>
          <w:rFonts w:ascii="Times New Roman" w:eastAsia="黑体" w:hAnsi="Times New Roman"/>
          <w:b w:val="0"/>
          <w:kern w:val="0"/>
        </w:rPr>
        <w:t>支出</w:t>
      </w:r>
      <w:r>
        <w:rPr>
          <w:rFonts w:ascii="Times New Roman" w:eastAsia="黑体" w:hAnsi="Times New Roman"/>
          <w:b w:val="0"/>
        </w:rPr>
        <w:t>决算总体情况说明</w:t>
      </w:r>
    </w:p>
    <w:p w:rsidR="00EB675F" w:rsidRDefault="00330D23">
      <w:pPr>
        <w:adjustRightInd w:val="0"/>
        <w:snapToGrid w:val="0"/>
        <w:spacing w:line="584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本部门2017年度年初结转和结余</w:t>
      </w:r>
      <w:r>
        <w:rPr>
          <w:rFonts w:ascii="仿宋" w:eastAsia="仿宋" w:hAnsi="仿宋" w:hint="eastAsia"/>
          <w:sz w:val="32"/>
          <w:szCs w:val="32"/>
        </w:rPr>
        <w:t>21.34</w:t>
      </w:r>
      <w:r>
        <w:rPr>
          <w:rFonts w:ascii="仿宋" w:eastAsia="仿宋" w:hAnsi="仿宋"/>
          <w:sz w:val="32"/>
          <w:szCs w:val="32"/>
        </w:rPr>
        <w:t>万元，本年收入</w:t>
      </w:r>
      <w:r>
        <w:rPr>
          <w:rFonts w:ascii="仿宋" w:eastAsia="仿宋" w:hAnsi="仿宋" w:hint="eastAsia"/>
          <w:sz w:val="32"/>
          <w:szCs w:val="32"/>
        </w:rPr>
        <w:t>228.33</w:t>
      </w:r>
      <w:r>
        <w:rPr>
          <w:rFonts w:ascii="仿宋" w:eastAsia="仿宋" w:hAnsi="仿宋"/>
          <w:sz w:val="32"/>
          <w:szCs w:val="32"/>
        </w:rPr>
        <w:t>万元；本年支出</w:t>
      </w:r>
      <w:r>
        <w:rPr>
          <w:rFonts w:ascii="仿宋" w:eastAsia="仿宋" w:hAnsi="仿宋" w:hint="eastAsia"/>
          <w:sz w:val="32"/>
          <w:szCs w:val="32"/>
        </w:rPr>
        <w:t>218.59</w:t>
      </w:r>
      <w:r>
        <w:rPr>
          <w:rFonts w:ascii="仿宋" w:eastAsia="仿宋" w:hAnsi="仿宋"/>
          <w:sz w:val="32"/>
          <w:szCs w:val="32"/>
        </w:rPr>
        <w:t>万元、年末结转和结余</w:t>
      </w:r>
      <w:r>
        <w:rPr>
          <w:rFonts w:ascii="仿宋" w:eastAsia="仿宋" w:hAnsi="仿宋" w:hint="eastAsia"/>
          <w:sz w:val="32"/>
          <w:szCs w:val="32"/>
        </w:rPr>
        <w:t>31.08</w:t>
      </w:r>
      <w:r>
        <w:rPr>
          <w:rFonts w:ascii="仿宋" w:eastAsia="仿宋" w:hAnsi="仿宋"/>
          <w:sz w:val="32"/>
          <w:szCs w:val="32"/>
        </w:rPr>
        <w:t>万元。与2016年度决算相比，本年收入增加</w:t>
      </w:r>
      <w:r>
        <w:rPr>
          <w:rFonts w:ascii="仿宋" w:eastAsia="仿宋" w:hAnsi="仿宋" w:hint="eastAsia"/>
          <w:sz w:val="32"/>
          <w:szCs w:val="32"/>
        </w:rPr>
        <w:t>35.66</w:t>
      </w:r>
      <w:r>
        <w:rPr>
          <w:rFonts w:ascii="仿宋" w:eastAsia="仿宋" w:hAnsi="仿宋"/>
          <w:sz w:val="32"/>
          <w:szCs w:val="32"/>
        </w:rPr>
        <w:t>万元，增长</w:t>
      </w:r>
      <w:r>
        <w:rPr>
          <w:rFonts w:ascii="仿宋" w:eastAsia="仿宋" w:hAnsi="仿宋" w:hint="eastAsia"/>
          <w:sz w:val="32"/>
          <w:szCs w:val="32"/>
        </w:rPr>
        <w:t>18.51</w:t>
      </w:r>
      <w:r>
        <w:rPr>
          <w:rFonts w:ascii="仿宋" w:eastAsia="仿宋" w:hAnsi="仿宋"/>
          <w:sz w:val="32"/>
          <w:szCs w:val="32"/>
        </w:rPr>
        <w:t>%，主要是</w:t>
      </w:r>
      <w:r>
        <w:rPr>
          <w:rFonts w:ascii="仿宋" w:eastAsia="仿宋" w:hAnsi="仿宋" w:hint="eastAsia"/>
          <w:sz w:val="32"/>
          <w:szCs w:val="32"/>
        </w:rPr>
        <w:t>财政拨款增加</w:t>
      </w:r>
      <w:r>
        <w:rPr>
          <w:rFonts w:ascii="仿宋" w:eastAsia="仿宋" w:hAnsi="仿宋"/>
          <w:sz w:val="32"/>
          <w:szCs w:val="32"/>
        </w:rPr>
        <w:t>；本年支出增加</w:t>
      </w:r>
      <w:r>
        <w:rPr>
          <w:rFonts w:ascii="仿宋" w:eastAsia="仿宋" w:hAnsi="仿宋" w:hint="eastAsia"/>
          <w:sz w:val="32"/>
          <w:szCs w:val="32"/>
        </w:rPr>
        <w:t>34.09</w:t>
      </w:r>
      <w:r>
        <w:rPr>
          <w:rFonts w:ascii="仿宋" w:eastAsia="仿宋" w:hAnsi="仿宋"/>
          <w:sz w:val="32"/>
          <w:szCs w:val="32"/>
        </w:rPr>
        <w:t>万元，增长</w:t>
      </w:r>
      <w:r>
        <w:rPr>
          <w:rFonts w:ascii="仿宋" w:eastAsia="仿宋" w:hAnsi="仿宋" w:hint="eastAsia"/>
          <w:sz w:val="32"/>
          <w:szCs w:val="32"/>
        </w:rPr>
        <w:t>18.48</w:t>
      </w:r>
      <w:r>
        <w:rPr>
          <w:rFonts w:ascii="仿宋" w:eastAsia="仿宋" w:hAnsi="仿宋"/>
          <w:sz w:val="32"/>
          <w:szCs w:val="32"/>
        </w:rPr>
        <w:t>%，主要是</w:t>
      </w:r>
      <w:r>
        <w:rPr>
          <w:rFonts w:ascii="仿宋" w:eastAsia="仿宋" w:hAnsi="仿宋" w:hint="eastAsia"/>
          <w:sz w:val="32"/>
          <w:szCs w:val="32"/>
        </w:rPr>
        <w:t>财政拨款增加</w:t>
      </w:r>
      <w:r>
        <w:rPr>
          <w:rFonts w:ascii="仿宋" w:eastAsia="仿宋" w:hAnsi="仿宋"/>
          <w:sz w:val="32"/>
          <w:szCs w:val="32"/>
        </w:rPr>
        <w:t>。</w:t>
      </w:r>
    </w:p>
    <w:p w:rsidR="00EB675F" w:rsidRDefault="00330D23">
      <w:pPr>
        <w:pStyle w:val="2"/>
        <w:adjustRightInd w:val="0"/>
        <w:spacing w:before="0" w:after="0" w:line="584" w:lineRule="exact"/>
        <w:ind w:firstLineChars="200" w:firstLine="640"/>
        <w:rPr>
          <w:rFonts w:ascii="Times New Roman" w:eastAsia="黑体" w:hAnsi="Times New Roman"/>
          <w:b w:val="0"/>
        </w:rPr>
      </w:pPr>
      <w:r>
        <w:rPr>
          <w:rFonts w:ascii="Times New Roman" w:eastAsia="黑体" w:hAnsi="Times New Roman"/>
          <w:b w:val="0"/>
        </w:rPr>
        <w:t>二、收入决算情况说明</w:t>
      </w:r>
    </w:p>
    <w:p w:rsidR="00EB675F" w:rsidRDefault="00330D23">
      <w:pPr>
        <w:pStyle w:val="2"/>
        <w:spacing w:before="0" w:after="0" w:line="584" w:lineRule="exact"/>
        <w:ind w:firstLineChars="200" w:firstLine="640"/>
        <w:rPr>
          <w:rFonts w:ascii="仿宋" w:eastAsia="仿宋" w:hAnsi="仿宋"/>
          <w:b w:val="0"/>
        </w:rPr>
      </w:pPr>
      <w:r>
        <w:rPr>
          <w:rFonts w:ascii="仿宋" w:eastAsia="仿宋" w:hAnsi="仿宋"/>
          <w:b w:val="0"/>
        </w:rPr>
        <w:t>本部门2017年度本年收入合计</w:t>
      </w:r>
      <w:r>
        <w:rPr>
          <w:rFonts w:ascii="仿宋" w:eastAsia="仿宋" w:hAnsi="仿宋" w:hint="eastAsia"/>
          <w:b w:val="0"/>
        </w:rPr>
        <w:t>228.33</w:t>
      </w:r>
      <w:r>
        <w:rPr>
          <w:rFonts w:ascii="仿宋" w:eastAsia="仿宋" w:hAnsi="仿宋"/>
          <w:b w:val="0"/>
        </w:rPr>
        <w:t>万元，其中：财政拨款收入</w:t>
      </w:r>
      <w:r>
        <w:rPr>
          <w:rFonts w:ascii="仿宋" w:eastAsia="仿宋" w:hAnsi="仿宋" w:hint="eastAsia"/>
          <w:b w:val="0"/>
        </w:rPr>
        <w:t>228.33</w:t>
      </w:r>
      <w:r>
        <w:rPr>
          <w:rFonts w:ascii="仿宋" w:eastAsia="仿宋" w:hAnsi="仿宋"/>
          <w:b w:val="0"/>
        </w:rPr>
        <w:t>万元，占</w:t>
      </w:r>
      <w:r>
        <w:rPr>
          <w:rFonts w:ascii="仿宋" w:eastAsia="仿宋" w:hAnsi="仿宋" w:hint="eastAsia"/>
          <w:b w:val="0"/>
        </w:rPr>
        <w:t>100</w:t>
      </w:r>
      <w:r>
        <w:rPr>
          <w:rFonts w:ascii="仿宋" w:eastAsia="仿宋" w:hAnsi="仿宋"/>
          <w:b w:val="0"/>
        </w:rPr>
        <w:t>%；事业收入</w:t>
      </w:r>
      <w:r>
        <w:rPr>
          <w:rFonts w:ascii="仿宋" w:eastAsia="仿宋" w:hAnsi="仿宋" w:hint="eastAsia"/>
          <w:b w:val="0"/>
        </w:rPr>
        <w:t>0</w:t>
      </w:r>
      <w:r>
        <w:rPr>
          <w:rFonts w:ascii="仿宋" w:eastAsia="仿宋" w:hAnsi="仿宋"/>
          <w:b w:val="0"/>
        </w:rPr>
        <w:t>万元，占</w:t>
      </w:r>
      <w:r>
        <w:rPr>
          <w:rFonts w:ascii="仿宋" w:eastAsia="仿宋" w:hAnsi="仿宋" w:hint="eastAsia"/>
          <w:b w:val="0"/>
        </w:rPr>
        <w:t>0</w:t>
      </w:r>
      <w:r>
        <w:rPr>
          <w:rFonts w:ascii="仿宋" w:eastAsia="仿宋" w:hAnsi="仿宋"/>
          <w:b w:val="0"/>
        </w:rPr>
        <w:t>%；经营收入</w:t>
      </w:r>
      <w:r>
        <w:rPr>
          <w:rFonts w:ascii="仿宋" w:eastAsia="仿宋" w:hAnsi="仿宋" w:hint="eastAsia"/>
          <w:b w:val="0"/>
        </w:rPr>
        <w:t>0</w:t>
      </w:r>
      <w:r>
        <w:rPr>
          <w:rFonts w:ascii="仿宋" w:eastAsia="仿宋" w:hAnsi="仿宋"/>
          <w:b w:val="0"/>
        </w:rPr>
        <w:t>万元，占</w:t>
      </w:r>
      <w:r>
        <w:rPr>
          <w:rFonts w:ascii="仿宋" w:eastAsia="仿宋" w:hAnsi="仿宋" w:hint="eastAsia"/>
          <w:b w:val="0"/>
        </w:rPr>
        <w:t>0</w:t>
      </w:r>
      <w:r>
        <w:rPr>
          <w:rFonts w:ascii="仿宋" w:eastAsia="仿宋" w:hAnsi="仿宋"/>
          <w:b w:val="0"/>
        </w:rPr>
        <w:t>%；其他收入</w:t>
      </w:r>
      <w:r>
        <w:rPr>
          <w:rFonts w:ascii="仿宋" w:eastAsia="仿宋" w:hAnsi="仿宋" w:hint="eastAsia"/>
          <w:b w:val="0"/>
        </w:rPr>
        <w:t>0</w:t>
      </w:r>
      <w:r>
        <w:rPr>
          <w:rFonts w:ascii="仿宋" w:eastAsia="仿宋" w:hAnsi="仿宋"/>
          <w:b w:val="0"/>
        </w:rPr>
        <w:t>万元，占</w:t>
      </w:r>
      <w:r>
        <w:rPr>
          <w:rFonts w:ascii="仿宋" w:eastAsia="仿宋" w:hAnsi="仿宋" w:hint="eastAsia"/>
          <w:b w:val="0"/>
        </w:rPr>
        <w:t>0</w:t>
      </w:r>
      <w:r>
        <w:rPr>
          <w:rFonts w:ascii="仿宋" w:eastAsia="仿宋" w:hAnsi="仿宋"/>
          <w:b w:val="0"/>
        </w:rPr>
        <w:t>%。</w:t>
      </w:r>
    </w:p>
    <w:p w:rsidR="00EB675F" w:rsidRDefault="00330D23">
      <w:pPr>
        <w:pStyle w:val="2"/>
        <w:spacing w:before="0" w:after="0" w:line="584" w:lineRule="exact"/>
        <w:ind w:firstLineChars="200" w:firstLine="640"/>
        <w:rPr>
          <w:rFonts w:ascii="黑体" w:eastAsia="黑体" w:hAnsi="黑体"/>
          <w:b w:val="0"/>
        </w:rPr>
      </w:pPr>
      <w:r>
        <w:rPr>
          <w:rFonts w:ascii="黑体" w:eastAsia="黑体" w:hAnsi="黑体"/>
          <w:b w:val="0"/>
        </w:rPr>
        <w:t>三、支出决算情况说明</w:t>
      </w:r>
    </w:p>
    <w:p w:rsidR="00EB675F" w:rsidRDefault="00330D23">
      <w:pPr>
        <w:pStyle w:val="2"/>
        <w:spacing w:before="0" w:after="0" w:line="584" w:lineRule="exact"/>
        <w:ind w:firstLineChars="200" w:firstLine="640"/>
        <w:rPr>
          <w:rFonts w:ascii="仿宋" w:eastAsia="仿宋" w:hAnsi="仿宋"/>
          <w:b w:val="0"/>
        </w:rPr>
      </w:pPr>
      <w:r>
        <w:rPr>
          <w:rFonts w:ascii="仿宋" w:eastAsia="仿宋" w:hAnsi="仿宋"/>
          <w:b w:val="0"/>
        </w:rPr>
        <w:t>本部门2017年度本年支出合计</w:t>
      </w:r>
      <w:r>
        <w:rPr>
          <w:rFonts w:ascii="仿宋" w:eastAsia="仿宋" w:hAnsi="仿宋" w:hint="eastAsia"/>
          <w:b w:val="0"/>
        </w:rPr>
        <w:t>218.59</w:t>
      </w:r>
      <w:r>
        <w:rPr>
          <w:rFonts w:ascii="仿宋" w:eastAsia="仿宋" w:hAnsi="仿宋"/>
          <w:b w:val="0"/>
        </w:rPr>
        <w:t>万元，其中：基本支出</w:t>
      </w:r>
      <w:r>
        <w:rPr>
          <w:rFonts w:ascii="仿宋" w:eastAsia="仿宋" w:hAnsi="仿宋" w:hint="eastAsia"/>
          <w:b w:val="0"/>
        </w:rPr>
        <w:t>218.59</w:t>
      </w:r>
      <w:r>
        <w:rPr>
          <w:rFonts w:ascii="仿宋" w:eastAsia="仿宋" w:hAnsi="仿宋"/>
          <w:b w:val="0"/>
        </w:rPr>
        <w:t>万元，占</w:t>
      </w:r>
      <w:r>
        <w:rPr>
          <w:rFonts w:ascii="仿宋" w:eastAsia="仿宋" w:hAnsi="仿宋" w:hint="eastAsia"/>
          <w:b w:val="0"/>
        </w:rPr>
        <w:t>100</w:t>
      </w:r>
      <w:r>
        <w:rPr>
          <w:rFonts w:ascii="仿宋" w:eastAsia="仿宋" w:hAnsi="仿宋"/>
          <w:b w:val="0"/>
        </w:rPr>
        <w:t>%；项目支出</w:t>
      </w:r>
      <w:r>
        <w:rPr>
          <w:rFonts w:ascii="仿宋" w:eastAsia="仿宋" w:hAnsi="仿宋" w:hint="eastAsia"/>
          <w:b w:val="0"/>
        </w:rPr>
        <w:t>0</w:t>
      </w:r>
      <w:r>
        <w:rPr>
          <w:rFonts w:ascii="仿宋" w:eastAsia="仿宋" w:hAnsi="仿宋"/>
          <w:b w:val="0"/>
        </w:rPr>
        <w:t>万元，占</w:t>
      </w:r>
      <w:r>
        <w:rPr>
          <w:rFonts w:ascii="仿宋" w:eastAsia="仿宋" w:hAnsi="仿宋" w:hint="eastAsia"/>
          <w:b w:val="0"/>
        </w:rPr>
        <w:t>0</w:t>
      </w:r>
      <w:r>
        <w:rPr>
          <w:rFonts w:ascii="仿宋" w:eastAsia="仿宋" w:hAnsi="仿宋"/>
          <w:b w:val="0"/>
        </w:rPr>
        <w:t>%；经营支出</w:t>
      </w:r>
      <w:r>
        <w:rPr>
          <w:rFonts w:ascii="仿宋" w:eastAsia="仿宋" w:hAnsi="仿宋" w:hint="eastAsia"/>
          <w:b w:val="0"/>
        </w:rPr>
        <w:t>0</w:t>
      </w:r>
      <w:r>
        <w:rPr>
          <w:rFonts w:ascii="仿宋" w:eastAsia="仿宋" w:hAnsi="仿宋"/>
          <w:b w:val="0"/>
        </w:rPr>
        <w:t>万元，占</w:t>
      </w:r>
      <w:r>
        <w:rPr>
          <w:rFonts w:ascii="仿宋" w:eastAsia="仿宋" w:hAnsi="仿宋" w:hint="eastAsia"/>
          <w:b w:val="0"/>
        </w:rPr>
        <w:t>0</w:t>
      </w:r>
      <w:r>
        <w:rPr>
          <w:rFonts w:ascii="仿宋" w:eastAsia="仿宋" w:hAnsi="仿宋"/>
          <w:b w:val="0"/>
        </w:rPr>
        <w:t>%。</w:t>
      </w:r>
    </w:p>
    <w:p w:rsidR="00EB675F" w:rsidRDefault="00330D23">
      <w:pPr>
        <w:pStyle w:val="2"/>
        <w:spacing w:before="0" w:after="0" w:line="584" w:lineRule="exact"/>
        <w:ind w:firstLineChars="200" w:firstLine="640"/>
        <w:rPr>
          <w:rFonts w:ascii="Times New Roman" w:eastAsia="黑体" w:hAnsi="Times New Roman"/>
          <w:b w:val="0"/>
        </w:rPr>
      </w:pPr>
      <w:r>
        <w:rPr>
          <w:rFonts w:ascii="Times New Roman" w:eastAsia="黑体" w:hAnsi="Times New Roman"/>
          <w:b w:val="0"/>
        </w:rPr>
        <w:t>四、</w:t>
      </w:r>
      <w:r>
        <w:rPr>
          <w:rFonts w:ascii="Times New Roman" w:eastAsia="黑体" w:hAnsi="Times New Roman"/>
          <w:b w:val="0"/>
          <w:kern w:val="0"/>
        </w:rPr>
        <w:t>财政</w:t>
      </w:r>
      <w:r>
        <w:rPr>
          <w:rFonts w:ascii="Times New Roman" w:eastAsia="黑体" w:hAnsi="Times New Roman"/>
          <w:b w:val="0"/>
        </w:rPr>
        <w:t>拨款收入支出决算总体情况说明</w:t>
      </w:r>
    </w:p>
    <w:p w:rsidR="00EB675F" w:rsidRDefault="00330D23">
      <w:pPr>
        <w:spacing w:line="584" w:lineRule="exact"/>
        <w:ind w:firstLineChars="200" w:firstLine="643"/>
        <w:rPr>
          <w:rFonts w:ascii="楷体" w:eastAsia="楷体" w:hAnsi="楷体"/>
          <w:b/>
          <w:bCs/>
          <w:sz w:val="32"/>
          <w:szCs w:val="32"/>
        </w:rPr>
      </w:pPr>
      <w:r>
        <w:rPr>
          <w:rFonts w:ascii="楷体" w:eastAsia="楷体" w:hAnsi="楷体"/>
          <w:b/>
          <w:bCs/>
          <w:sz w:val="32"/>
          <w:szCs w:val="32"/>
        </w:rPr>
        <w:t>（一）财政拨款收支与2016 年度决算对比情况</w:t>
      </w:r>
    </w:p>
    <w:p w:rsidR="00EB675F" w:rsidRDefault="00330D23">
      <w:pPr>
        <w:adjustRightInd w:val="0"/>
        <w:snapToGrid w:val="0"/>
        <w:spacing w:line="584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本部门2017年度财政拨款收支全部为一般公共预算财政拨款收支。一般公共预算财政拨款年初结转和结余</w:t>
      </w:r>
      <w:r>
        <w:rPr>
          <w:rFonts w:ascii="仿宋" w:eastAsia="仿宋" w:hAnsi="仿宋" w:hint="eastAsia"/>
          <w:sz w:val="32"/>
          <w:szCs w:val="32"/>
        </w:rPr>
        <w:t>21.34</w:t>
      </w:r>
      <w:r>
        <w:rPr>
          <w:rFonts w:ascii="仿宋" w:eastAsia="仿宋" w:hAnsi="仿宋"/>
          <w:sz w:val="32"/>
          <w:szCs w:val="32"/>
        </w:rPr>
        <w:t>万元、本年收入</w:t>
      </w:r>
      <w:r>
        <w:rPr>
          <w:rFonts w:ascii="仿宋" w:eastAsia="仿宋" w:hAnsi="仿宋" w:hint="eastAsia"/>
          <w:sz w:val="32"/>
          <w:szCs w:val="32"/>
        </w:rPr>
        <w:t>228.33</w:t>
      </w:r>
      <w:r>
        <w:rPr>
          <w:rFonts w:ascii="仿宋" w:eastAsia="仿宋" w:hAnsi="仿宋"/>
          <w:sz w:val="32"/>
          <w:szCs w:val="32"/>
        </w:rPr>
        <w:t>万元；本年支出</w:t>
      </w:r>
      <w:r>
        <w:rPr>
          <w:rFonts w:ascii="仿宋" w:eastAsia="仿宋" w:hAnsi="仿宋" w:hint="eastAsia"/>
          <w:sz w:val="32"/>
          <w:szCs w:val="32"/>
        </w:rPr>
        <w:t>218.59</w:t>
      </w:r>
      <w:r>
        <w:rPr>
          <w:rFonts w:ascii="仿宋" w:eastAsia="仿宋" w:hAnsi="仿宋"/>
          <w:sz w:val="32"/>
          <w:szCs w:val="32"/>
        </w:rPr>
        <w:t>万元、年末结转和结余</w:t>
      </w:r>
      <w:r>
        <w:rPr>
          <w:rFonts w:ascii="仿宋" w:eastAsia="仿宋" w:hAnsi="仿宋" w:hint="eastAsia"/>
          <w:sz w:val="32"/>
          <w:szCs w:val="32"/>
        </w:rPr>
        <w:t>31.08</w:t>
      </w:r>
      <w:r>
        <w:rPr>
          <w:rFonts w:ascii="仿宋" w:eastAsia="仿宋" w:hAnsi="仿宋"/>
          <w:sz w:val="32"/>
          <w:szCs w:val="32"/>
        </w:rPr>
        <w:t>万元。与2016年度决算相比，一般公共预算财政拨款本</w:t>
      </w:r>
      <w:r>
        <w:rPr>
          <w:rFonts w:ascii="仿宋" w:eastAsia="仿宋" w:hAnsi="仿宋"/>
          <w:sz w:val="32"/>
          <w:szCs w:val="32"/>
        </w:rPr>
        <w:lastRenderedPageBreak/>
        <w:t>年收入增加</w:t>
      </w:r>
      <w:r>
        <w:rPr>
          <w:rFonts w:ascii="仿宋" w:eastAsia="仿宋" w:hAnsi="仿宋" w:hint="eastAsia"/>
          <w:sz w:val="32"/>
          <w:szCs w:val="32"/>
        </w:rPr>
        <w:t>35.66</w:t>
      </w:r>
      <w:r>
        <w:rPr>
          <w:rFonts w:ascii="仿宋" w:eastAsia="仿宋" w:hAnsi="仿宋"/>
          <w:sz w:val="32"/>
          <w:szCs w:val="32"/>
        </w:rPr>
        <w:t>万元，增长</w:t>
      </w:r>
      <w:r>
        <w:rPr>
          <w:rFonts w:ascii="仿宋" w:eastAsia="仿宋" w:hAnsi="仿宋" w:hint="eastAsia"/>
          <w:sz w:val="32"/>
          <w:szCs w:val="32"/>
        </w:rPr>
        <w:t>18.51</w:t>
      </w:r>
      <w:r>
        <w:rPr>
          <w:rFonts w:ascii="仿宋" w:eastAsia="仿宋" w:hAnsi="仿宋"/>
          <w:sz w:val="32"/>
          <w:szCs w:val="32"/>
        </w:rPr>
        <w:t>%，主要原因是</w:t>
      </w:r>
      <w:r>
        <w:rPr>
          <w:rFonts w:ascii="仿宋" w:eastAsia="仿宋" w:hAnsi="仿宋" w:hint="eastAsia"/>
          <w:sz w:val="32"/>
          <w:szCs w:val="32"/>
        </w:rPr>
        <w:t>财政拨款增加</w:t>
      </w:r>
      <w:r>
        <w:rPr>
          <w:rFonts w:ascii="仿宋" w:eastAsia="仿宋" w:hAnsi="仿宋"/>
          <w:sz w:val="32"/>
          <w:szCs w:val="32"/>
        </w:rPr>
        <w:t>；本年支出增加</w:t>
      </w:r>
      <w:r>
        <w:rPr>
          <w:rFonts w:ascii="仿宋" w:eastAsia="仿宋" w:hAnsi="仿宋" w:hint="eastAsia"/>
          <w:sz w:val="32"/>
          <w:szCs w:val="32"/>
        </w:rPr>
        <w:t>34.09</w:t>
      </w:r>
      <w:r>
        <w:rPr>
          <w:rFonts w:ascii="仿宋" w:eastAsia="仿宋" w:hAnsi="仿宋"/>
          <w:sz w:val="32"/>
          <w:szCs w:val="32"/>
        </w:rPr>
        <w:t>万元，增长</w:t>
      </w:r>
      <w:r>
        <w:rPr>
          <w:rFonts w:ascii="仿宋" w:eastAsia="仿宋" w:hAnsi="仿宋" w:hint="eastAsia"/>
          <w:sz w:val="32"/>
          <w:szCs w:val="32"/>
        </w:rPr>
        <w:t>18.48</w:t>
      </w:r>
      <w:r>
        <w:rPr>
          <w:rFonts w:ascii="仿宋" w:eastAsia="仿宋" w:hAnsi="仿宋"/>
          <w:sz w:val="32"/>
          <w:szCs w:val="32"/>
        </w:rPr>
        <w:t>%，主要是原因是</w:t>
      </w:r>
      <w:r>
        <w:rPr>
          <w:rFonts w:ascii="仿宋" w:eastAsia="仿宋" w:hAnsi="仿宋" w:hint="eastAsia"/>
          <w:sz w:val="32"/>
          <w:szCs w:val="32"/>
        </w:rPr>
        <w:t>财政拨款增加</w:t>
      </w:r>
      <w:r>
        <w:rPr>
          <w:rFonts w:ascii="仿宋" w:eastAsia="仿宋" w:hAnsi="仿宋"/>
          <w:sz w:val="32"/>
          <w:szCs w:val="32"/>
        </w:rPr>
        <w:t>。</w:t>
      </w:r>
    </w:p>
    <w:p w:rsidR="00EB675F" w:rsidRDefault="00330D23">
      <w:pPr>
        <w:spacing w:line="584" w:lineRule="exact"/>
        <w:ind w:firstLineChars="200" w:firstLine="643"/>
        <w:rPr>
          <w:rFonts w:ascii="楷体" w:eastAsia="楷体" w:hAnsi="楷体"/>
          <w:b/>
          <w:bCs/>
          <w:sz w:val="32"/>
          <w:szCs w:val="32"/>
        </w:rPr>
      </w:pPr>
      <w:r>
        <w:rPr>
          <w:rFonts w:ascii="楷体" w:eastAsia="楷体" w:hAnsi="楷体"/>
          <w:b/>
          <w:bCs/>
          <w:sz w:val="32"/>
          <w:szCs w:val="32"/>
        </w:rPr>
        <w:t>（二）财政拨款收支与年初预算数对比情况</w:t>
      </w:r>
    </w:p>
    <w:p w:rsidR="00EB675F" w:rsidRDefault="00330D23">
      <w:pPr>
        <w:adjustRightInd w:val="0"/>
        <w:snapToGrid w:val="0"/>
        <w:spacing w:line="584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本部门2017年度一般公共预算财政拨款本年收入较2017年初预算减少</w:t>
      </w:r>
      <w:r>
        <w:rPr>
          <w:rFonts w:ascii="仿宋" w:eastAsia="仿宋" w:hAnsi="仿宋" w:hint="eastAsia"/>
          <w:sz w:val="32"/>
          <w:szCs w:val="32"/>
        </w:rPr>
        <w:t>12.31</w:t>
      </w:r>
      <w:r>
        <w:rPr>
          <w:rFonts w:ascii="仿宋" w:eastAsia="仿宋" w:hAnsi="仿宋"/>
          <w:sz w:val="32"/>
          <w:szCs w:val="32"/>
        </w:rPr>
        <w:t>万元，降低</w:t>
      </w:r>
      <w:r>
        <w:rPr>
          <w:rFonts w:ascii="仿宋" w:eastAsia="仿宋" w:hAnsi="仿宋" w:hint="eastAsia"/>
          <w:sz w:val="32"/>
          <w:szCs w:val="32"/>
        </w:rPr>
        <w:t>5.12</w:t>
      </w:r>
      <w:r>
        <w:rPr>
          <w:rFonts w:ascii="仿宋" w:eastAsia="仿宋" w:hAnsi="仿宋"/>
          <w:sz w:val="32"/>
          <w:szCs w:val="32"/>
        </w:rPr>
        <w:t>%，主要原因是</w:t>
      </w:r>
      <w:r>
        <w:rPr>
          <w:rFonts w:ascii="仿宋" w:eastAsia="仿宋" w:hAnsi="仿宋" w:hint="eastAsia"/>
          <w:sz w:val="32"/>
          <w:szCs w:val="32"/>
        </w:rPr>
        <w:t>人员减少</w:t>
      </w:r>
      <w:r>
        <w:rPr>
          <w:rFonts w:ascii="仿宋" w:eastAsia="仿宋" w:hAnsi="仿宋"/>
          <w:sz w:val="32"/>
          <w:szCs w:val="32"/>
        </w:rPr>
        <w:t>；本年支出减少</w:t>
      </w:r>
      <w:r>
        <w:rPr>
          <w:rFonts w:ascii="仿宋" w:eastAsia="仿宋" w:hAnsi="仿宋" w:hint="eastAsia"/>
          <w:sz w:val="32"/>
          <w:szCs w:val="32"/>
        </w:rPr>
        <w:t>22.05</w:t>
      </w:r>
      <w:r>
        <w:rPr>
          <w:rFonts w:ascii="仿宋" w:eastAsia="仿宋" w:hAnsi="仿宋"/>
          <w:sz w:val="32"/>
          <w:szCs w:val="32"/>
        </w:rPr>
        <w:t>万元，降低</w:t>
      </w:r>
      <w:r>
        <w:rPr>
          <w:rFonts w:ascii="仿宋" w:eastAsia="仿宋" w:hAnsi="仿宋" w:hint="eastAsia"/>
          <w:sz w:val="32"/>
          <w:szCs w:val="32"/>
        </w:rPr>
        <w:t>9.16</w:t>
      </w:r>
      <w:r>
        <w:rPr>
          <w:rFonts w:ascii="仿宋" w:eastAsia="仿宋" w:hAnsi="仿宋"/>
          <w:sz w:val="32"/>
          <w:szCs w:val="32"/>
        </w:rPr>
        <w:t>%，主要原因是</w:t>
      </w:r>
      <w:r>
        <w:rPr>
          <w:rFonts w:ascii="仿宋" w:eastAsia="仿宋" w:hAnsi="仿宋" w:hint="eastAsia"/>
          <w:sz w:val="32"/>
          <w:szCs w:val="32"/>
        </w:rPr>
        <w:t>人员减少</w:t>
      </w:r>
      <w:r>
        <w:rPr>
          <w:rFonts w:ascii="仿宋" w:eastAsia="仿宋" w:hAnsi="仿宋"/>
          <w:sz w:val="32"/>
          <w:szCs w:val="32"/>
        </w:rPr>
        <w:t>。</w:t>
      </w:r>
    </w:p>
    <w:p w:rsidR="00EB675F" w:rsidRDefault="00EB675F">
      <w:pPr>
        <w:adjustRightInd w:val="0"/>
        <w:snapToGrid w:val="0"/>
        <w:spacing w:line="584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EB675F" w:rsidRDefault="00330D23">
      <w:pPr>
        <w:pStyle w:val="2"/>
        <w:spacing w:before="0" w:after="0" w:line="584" w:lineRule="exact"/>
        <w:ind w:firstLineChars="200" w:firstLine="640"/>
        <w:rPr>
          <w:rFonts w:ascii="仿宋" w:eastAsia="仿宋" w:hAnsi="仿宋"/>
          <w:b w:val="0"/>
        </w:rPr>
      </w:pPr>
      <w:r>
        <w:rPr>
          <w:rFonts w:ascii="Times New Roman" w:eastAsia="黑体" w:hAnsi="Times New Roman"/>
          <w:b w:val="0"/>
        </w:rPr>
        <w:t>五、一般公共预算财政拨款</w:t>
      </w:r>
      <w:r>
        <w:rPr>
          <w:rFonts w:ascii="Times New Roman" w:eastAsia="黑体" w:hAnsi="Times New Roman"/>
          <w:b w:val="0"/>
        </w:rPr>
        <w:t>“</w:t>
      </w:r>
      <w:r>
        <w:rPr>
          <w:rFonts w:ascii="Times New Roman" w:eastAsia="黑体" w:hAnsi="Times New Roman"/>
          <w:b w:val="0"/>
        </w:rPr>
        <w:t>三公</w:t>
      </w:r>
      <w:r>
        <w:rPr>
          <w:rFonts w:ascii="Times New Roman" w:eastAsia="黑体" w:hAnsi="Times New Roman"/>
          <w:b w:val="0"/>
        </w:rPr>
        <w:t xml:space="preserve">” </w:t>
      </w:r>
      <w:r>
        <w:rPr>
          <w:rFonts w:ascii="Times New Roman" w:eastAsia="黑体" w:hAnsi="Times New Roman"/>
          <w:b w:val="0"/>
        </w:rPr>
        <w:t>经费支出决算情况说明</w:t>
      </w:r>
    </w:p>
    <w:p w:rsidR="00EB675F" w:rsidRDefault="00330D23">
      <w:pPr>
        <w:adjustRightInd w:val="0"/>
        <w:snapToGrid w:val="0"/>
        <w:spacing w:line="584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本部门2017年度一般公共预算财政拨款“三公”经费支出共计</w:t>
      </w:r>
      <w:r>
        <w:rPr>
          <w:rFonts w:ascii="仿宋" w:eastAsia="仿宋" w:hAnsi="仿宋" w:hint="eastAsia"/>
          <w:sz w:val="32"/>
          <w:szCs w:val="32"/>
        </w:rPr>
        <w:t>1.90</w:t>
      </w:r>
      <w:r>
        <w:rPr>
          <w:rFonts w:ascii="仿宋" w:eastAsia="仿宋" w:hAnsi="仿宋"/>
          <w:sz w:val="32"/>
          <w:szCs w:val="32"/>
        </w:rPr>
        <w:t>万元，较年初预算</w:t>
      </w:r>
      <w:r>
        <w:rPr>
          <w:rFonts w:ascii="仿宋" w:eastAsia="仿宋" w:hAnsi="仿宋" w:hint="eastAsia"/>
          <w:sz w:val="32"/>
          <w:szCs w:val="32"/>
        </w:rPr>
        <w:t>无</w:t>
      </w:r>
      <w:r>
        <w:rPr>
          <w:rFonts w:ascii="仿宋" w:eastAsia="仿宋" w:hAnsi="仿宋"/>
          <w:sz w:val="32"/>
          <w:szCs w:val="32"/>
        </w:rPr>
        <w:t>增减少</w:t>
      </w:r>
      <w:r>
        <w:rPr>
          <w:rFonts w:ascii="仿宋" w:eastAsia="仿宋" w:hAnsi="仿宋" w:hint="eastAsia"/>
          <w:sz w:val="32"/>
          <w:szCs w:val="32"/>
        </w:rPr>
        <w:t>变化；</w:t>
      </w:r>
      <w:r>
        <w:rPr>
          <w:rFonts w:ascii="仿宋" w:eastAsia="仿宋" w:hAnsi="仿宋"/>
          <w:sz w:val="32"/>
          <w:szCs w:val="32"/>
        </w:rPr>
        <w:t>较2016年度决算增加</w:t>
      </w:r>
      <w:r>
        <w:rPr>
          <w:rFonts w:ascii="仿宋" w:eastAsia="仿宋" w:hAnsi="仿宋" w:hint="eastAsia"/>
          <w:sz w:val="32"/>
          <w:szCs w:val="32"/>
        </w:rPr>
        <w:t>0.02</w:t>
      </w:r>
      <w:r>
        <w:rPr>
          <w:rFonts w:ascii="仿宋" w:eastAsia="仿宋" w:hAnsi="仿宋"/>
          <w:sz w:val="32"/>
          <w:szCs w:val="32"/>
        </w:rPr>
        <w:t>万元，增长</w:t>
      </w:r>
      <w:r>
        <w:rPr>
          <w:rFonts w:ascii="仿宋" w:eastAsia="仿宋" w:hAnsi="仿宋" w:hint="eastAsia"/>
          <w:sz w:val="32"/>
          <w:szCs w:val="32"/>
        </w:rPr>
        <w:t>1.06</w:t>
      </w:r>
      <w:r>
        <w:rPr>
          <w:rFonts w:ascii="仿宋" w:eastAsia="仿宋" w:hAnsi="仿宋"/>
          <w:sz w:val="32"/>
          <w:szCs w:val="32"/>
        </w:rPr>
        <w:t>%，主要原因是</w:t>
      </w:r>
      <w:r>
        <w:rPr>
          <w:rFonts w:ascii="仿宋" w:eastAsia="仿宋" w:hAnsi="仿宋" w:hint="eastAsia"/>
          <w:sz w:val="32"/>
          <w:szCs w:val="32"/>
        </w:rPr>
        <w:t>维护费用增加</w:t>
      </w:r>
      <w:r>
        <w:rPr>
          <w:rFonts w:ascii="仿宋" w:eastAsia="仿宋" w:hAnsi="仿宋"/>
          <w:sz w:val="32"/>
          <w:szCs w:val="32"/>
        </w:rPr>
        <w:t>。具体情况如下：</w:t>
      </w:r>
    </w:p>
    <w:p w:rsidR="00EB675F" w:rsidRDefault="00330D23">
      <w:pPr>
        <w:numPr>
          <w:ilvl w:val="0"/>
          <w:numId w:val="1"/>
        </w:numPr>
        <w:adjustRightInd w:val="0"/>
        <w:snapToGrid w:val="0"/>
        <w:spacing w:line="584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/>
          <w:b/>
          <w:bCs/>
          <w:sz w:val="32"/>
          <w:szCs w:val="32"/>
        </w:rPr>
        <w:t>因公出国（境）费支出</w:t>
      </w:r>
      <w:r>
        <w:rPr>
          <w:rFonts w:ascii="楷体" w:eastAsia="楷体" w:hAnsi="楷体" w:hint="eastAsia"/>
          <w:b/>
          <w:bCs/>
          <w:sz w:val="32"/>
          <w:szCs w:val="32"/>
        </w:rPr>
        <w:t>0</w:t>
      </w:r>
      <w:r>
        <w:rPr>
          <w:rFonts w:ascii="楷体" w:eastAsia="楷体" w:hAnsi="楷体"/>
          <w:b/>
          <w:bCs/>
          <w:sz w:val="32"/>
          <w:szCs w:val="32"/>
        </w:rPr>
        <w:t>万元。</w:t>
      </w:r>
      <w:r>
        <w:rPr>
          <w:rFonts w:ascii="仿宋" w:eastAsia="仿宋" w:hAnsi="仿宋"/>
          <w:sz w:val="32"/>
          <w:szCs w:val="32"/>
        </w:rPr>
        <w:t>本部门2017年度</w:t>
      </w:r>
      <w:r>
        <w:rPr>
          <w:rFonts w:ascii="仿宋" w:eastAsia="仿宋" w:hAnsi="仿宋" w:hint="eastAsia"/>
          <w:sz w:val="32"/>
          <w:szCs w:val="32"/>
        </w:rPr>
        <w:t>未发生</w:t>
      </w:r>
      <w:r>
        <w:rPr>
          <w:rFonts w:ascii="仿宋" w:eastAsia="仿宋" w:hAnsi="仿宋"/>
          <w:sz w:val="32"/>
          <w:szCs w:val="32"/>
        </w:rPr>
        <w:t>因公出国（境）</w:t>
      </w:r>
      <w:r>
        <w:rPr>
          <w:rFonts w:ascii="仿宋" w:eastAsia="仿宋" w:hAnsi="仿宋" w:hint="eastAsia"/>
          <w:sz w:val="32"/>
          <w:szCs w:val="32"/>
        </w:rPr>
        <w:t>经费支出。</w:t>
      </w:r>
      <w:r>
        <w:rPr>
          <w:rFonts w:ascii="仿宋" w:eastAsia="仿宋" w:hAnsi="仿宋"/>
          <w:sz w:val="32"/>
          <w:szCs w:val="32"/>
        </w:rPr>
        <w:t>因公出国（境）</w:t>
      </w:r>
      <w:r>
        <w:rPr>
          <w:rFonts w:ascii="仿宋" w:eastAsia="仿宋" w:hAnsi="仿宋" w:hint="eastAsia"/>
          <w:sz w:val="32"/>
          <w:szCs w:val="32"/>
        </w:rPr>
        <w:t>经费支出较年初预算无增减变化。</w:t>
      </w:r>
    </w:p>
    <w:p w:rsidR="00EB675F" w:rsidRDefault="00330D23">
      <w:pPr>
        <w:adjustRightInd w:val="0"/>
        <w:snapToGrid w:val="0"/>
        <w:spacing w:line="584" w:lineRule="exact"/>
        <w:ind w:firstLineChars="200" w:firstLine="643"/>
        <w:rPr>
          <w:rFonts w:ascii="楷体" w:eastAsia="楷体" w:hAnsi="楷体"/>
          <w:b/>
          <w:bCs/>
          <w:sz w:val="32"/>
          <w:szCs w:val="32"/>
        </w:rPr>
      </w:pPr>
      <w:r>
        <w:rPr>
          <w:rFonts w:ascii="楷体" w:eastAsia="楷体" w:hAnsi="楷体"/>
          <w:b/>
          <w:bCs/>
          <w:sz w:val="32"/>
          <w:szCs w:val="32"/>
        </w:rPr>
        <w:t>（二）公务用车购置及运行维护费支出</w:t>
      </w:r>
      <w:r>
        <w:rPr>
          <w:rFonts w:ascii="楷体" w:eastAsia="楷体" w:hAnsi="楷体" w:hint="eastAsia"/>
          <w:b/>
          <w:bCs/>
          <w:sz w:val="32"/>
          <w:szCs w:val="32"/>
        </w:rPr>
        <w:t>1.90</w:t>
      </w:r>
      <w:r>
        <w:rPr>
          <w:rFonts w:ascii="楷体" w:eastAsia="楷体" w:hAnsi="楷体"/>
          <w:b/>
          <w:bCs/>
          <w:sz w:val="32"/>
          <w:szCs w:val="32"/>
        </w:rPr>
        <w:t>万元。其中：</w:t>
      </w:r>
    </w:p>
    <w:p w:rsidR="00EB675F" w:rsidRDefault="00330D23" w:rsidP="00EF5245">
      <w:pPr>
        <w:adjustRightInd w:val="0"/>
        <w:snapToGrid w:val="0"/>
        <w:spacing w:line="584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公务用车购置费支出</w:t>
      </w:r>
      <w:r>
        <w:rPr>
          <w:rFonts w:ascii="仿宋" w:eastAsia="仿宋" w:hAnsi="仿宋" w:hint="eastAsia"/>
          <w:b/>
          <w:sz w:val="32"/>
          <w:szCs w:val="32"/>
        </w:rPr>
        <w:t>0</w:t>
      </w:r>
      <w:r>
        <w:rPr>
          <w:rFonts w:ascii="仿宋" w:eastAsia="仿宋" w:hAnsi="仿宋"/>
          <w:b/>
          <w:sz w:val="32"/>
          <w:szCs w:val="32"/>
        </w:rPr>
        <w:t>万元。</w:t>
      </w:r>
      <w:r>
        <w:rPr>
          <w:rFonts w:ascii="仿宋" w:eastAsia="仿宋" w:hAnsi="仿宋"/>
          <w:sz w:val="32"/>
          <w:szCs w:val="32"/>
        </w:rPr>
        <w:t>本部门2017年度</w:t>
      </w:r>
      <w:r>
        <w:rPr>
          <w:rFonts w:ascii="仿宋" w:eastAsia="仿宋" w:hAnsi="仿宋" w:hint="eastAsia"/>
          <w:sz w:val="32"/>
          <w:szCs w:val="32"/>
        </w:rPr>
        <w:t>未发生</w:t>
      </w:r>
      <w:r>
        <w:rPr>
          <w:rFonts w:ascii="仿宋" w:eastAsia="仿宋" w:hAnsi="仿宋"/>
          <w:sz w:val="32"/>
          <w:szCs w:val="32"/>
        </w:rPr>
        <w:t>公务用车购置</w:t>
      </w:r>
      <w:r>
        <w:rPr>
          <w:rFonts w:ascii="仿宋" w:eastAsia="仿宋" w:hAnsi="仿宋" w:hint="eastAsia"/>
          <w:sz w:val="32"/>
          <w:szCs w:val="32"/>
        </w:rPr>
        <w:t>经费支出</w:t>
      </w:r>
      <w:r>
        <w:rPr>
          <w:rFonts w:ascii="仿宋" w:eastAsia="仿宋" w:hAnsi="仿宋"/>
          <w:sz w:val="32"/>
          <w:szCs w:val="32"/>
        </w:rPr>
        <w:t>。公务用车购置费支出较年初预算</w:t>
      </w:r>
      <w:r>
        <w:rPr>
          <w:rFonts w:ascii="仿宋" w:eastAsia="仿宋" w:hAnsi="仿宋" w:hint="eastAsia"/>
          <w:sz w:val="32"/>
          <w:szCs w:val="32"/>
        </w:rPr>
        <w:t>无增减变化</w:t>
      </w:r>
      <w:r>
        <w:rPr>
          <w:rFonts w:ascii="仿宋" w:eastAsia="仿宋" w:hAnsi="仿宋"/>
          <w:sz w:val="32"/>
          <w:szCs w:val="32"/>
        </w:rPr>
        <w:t>；较2016年度决算</w:t>
      </w:r>
      <w:r>
        <w:rPr>
          <w:rFonts w:ascii="仿宋" w:eastAsia="仿宋" w:hAnsi="仿宋" w:hint="eastAsia"/>
          <w:sz w:val="32"/>
          <w:szCs w:val="32"/>
        </w:rPr>
        <w:t>无增减变化。</w:t>
      </w:r>
    </w:p>
    <w:p w:rsidR="00EB675F" w:rsidRDefault="00330D23" w:rsidP="00EF5245">
      <w:pPr>
        <w:adjustRightInd w:val="0"/>
        <w:snapToGrid w:val="0"/>
        <w:spacing w:line="584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公务用车运行维护费支出</w:t>
      </w:r>
      <w:r>
        <w:rPr>
          <w:rFonts w:ascii="仿宋" w:eastAsia="仿宋" w:hAnsi="仿宋" w:hint="eastAsia"/>
          <w:b/>
          <w:sz w:val="32"/>
          <w:szCs w:val="32"/>
        </w:rPr>
        <w:t>1.90</w:t>
      </w:r>
      <w:r>
        <w:rPr>
          <w:rFonts w:ascii="仿宋" w:eastAsia="仿宋" w:hAnsi="仿宋"/>
          <w:b/>
          <w:sz w:val="32"/>
          <w:szCs w:val="32"/>
        </w:rPr>
        <w:t>万元。</w:t>
      </w:r>
      <w:r>
        <w:rPr>
          <w:rFonts w:ascii="仿宋" w:eastAsia="仿宋" w:hAnsi="仿宋"/>
          <w:sz w:val="32"/>
          <w:szCs w:val="32"/>
        </w:rPr>
        <w:t>本部门2017年末单位公务用车保有量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辆。公车运行维护费支出较年初预算</w:t>
      </w:r>
      <w:r>
        <w:rPr>
          <w:rFonts w:ascii="仿宋" w:eastAsia="仿宋" w:hAnsi="仿宋" w:hint="eastAsia"/>
          <w:sz w:val="32"/>
          <w:szCs w:val="32"/>
        </w:rPr>
        <w:t>无增减变</w:t>
      </w:r>
      <w:r>
        <w:rPr>
          <w:rFonts w:ascii="仿宋" w:eastAsia="仿宋" w:hAnsi="仿宋" w:hint="eastAsia"/>
          <w:sz w:val="32"/>
          <w:szCs w:val="32"/>
        </w:rPr>
        <w:lastRenderedPageBreak/>
        <w:t>化</w:t>
      </w:r>
      <w:r>
        <w:rPr>
          <w:rFonts w:ascii="仿宋" w:eastAsia="仿宋" w:hAnsi="仿宋"/>
          <w:sz w:val="32"/>
          <w:szCs w:val="32"/>
        </w:rPr>
        <w:t>；较2016年度决算增加</w:t>
      </w:r>
      <w:r>
        <w:rPr>
          <w:rFonts w:ascii="仿宋" w:eastAsia="仿宋" w:hAnsi="仿宋" w:hint="eastAsia"/>
          <w:sz w:val="32"/>
          <w:szCs w:val="32"/>
        </w:rPr>
        <w:t>0.02</w:t>
      </w:r>
      <w:r>
        <w:rPr>
          <w:rFonts w:ascii="仿宋" w:eastAsia="仿宋" w:hAnsi="仿宋"/>
          <w:sz w:val="32"/>
          <w:szCs w:val="32"/>
        </w:rPr>
        <w:t>万元，增长</w:t>
      </w:r>
      <w:r>
        <w:rPr>
          <w:rFonts w:ascii="仿宋" w:eastAsia="仿宋" w:hAnsi="仿宋" w:hint="eastAsia"/>
          <w:sz w:val="32"/>
          <w:szCs w:val="32"/>
        </w:rPr>
        <w:t>1.06</w:t>
      </w:r>
      <w:r>
        <w:rPr>
          <w:rFonts w:ascii="仿宋" w:eastAsia="仿宋" w:hAnsi="仿宋"/>
          <w:sz w:val="32"/>
          <w:szCs w:val="32"/>
        </w:rPr>
        <w:t>%，主要原因是</w:t>
      </w:r>
      <w:r>
        <w:rPr>
          <w:rFonts w:ascii="仿宋" w:eastAsia="仿宋" w:hAnsi="仿宋" w:hint="eastAsia"/>
          <w:sz w:val="32"/>
          <w:szCs w:val="32"/>
        </w:rPr>
        <w:t>维护费用增加</w:t>
      </w:r>
      <w:r>
        <w:rPr>
          <w:rFonts w:ascii="仿宋" w:eastAsia="仿宋" w:hAnsi="仿宋"/>
          <w:sz w:val="32"/>
          <w:szCs w:val="32"/>
        </w:rPr>
        <w:t>。</w:t>
      </w:r>
    </w:p>
    <w:p w:rsidR="00EB675F" w:rsidRDefault="00330D23">
      <w:pPr>
        <w:adjustRightInd w:val="0"/>
        <w:snapToGrid w:val="0"/>
        <w:spacing w:line="584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/>
          <w:b/>
          <w:bCs/>
          <w:sz w:val="32"/>
          <w:szCs w:val="32"/>
        </w:rPr>
        <w:t>（三）公务接待费支出</w:t>
      </w:r>
      <w:r>
        <w:rPr>
          <w:rFonts w:ascii="楷体" w:eastAsia="楷体" w:hAnsi="楷体" w:hint="eastAsia"/>
          <w:b/>
          <w:bCs/>
          <w:sz w:val="32"/>
          <w:szCs w:val="32"/>
        </w:rPr>
        <w:t>0</w:t>
      </w:r>
      <w:r>
        <w:rPr>
          <w:rFonts w:ascii="楷体" w:eastAsia="楷体" w:hAnsi="楷体"/>
          <w:b/>
          <w:bCs/>
          <w:sz w:val="32"/>
          <w:szCs w:val="32"/>
        </w:rPr>
        <w:t>万元。</w:t>
      </w:r>
      <w:r>
        <w:rPr>
          <w:rFonts w:ascii="仿宋" w:eastAsia="仿宋" w:hAnsi="仿宋"/>
          <w:sz w:val="32"/>
          <w:szCs w:val="32"/>
        </w:rPr>
        <w:t>本部门2017年度</w:t>
      </w:r>
      <w:r>
        <w:rPr>
          <w:rFonts w:ascii="仿宋" w:eastAsia="仿宋" w:hAnsi="仿宋" w:hint="eastAsia"/>
          <w:sz w:val="32"/>
          <w:szCs w:val="32"/>
        </w:rPr>
        <w:t>未发生</w:t>
      </w:r>
      <w:r>
        <w:rPr>
          <w:rFonts w:ascii="仿宋" w:eastAsia="仿宋" w:hAnsi="仿宋"/>
          <w:sz w:val="32"/>
          <w:szCs w:val="32"/>
        </w:rPr>
        <w:t>公务接</w:t>
      </w:r>
      <w:r>
        <w:rPr>
          <w:rFonts w:ascii="仿宋" w:eastAsia="仿宋" w:hAnsi="仿宋" w:hint="eastAsia"/>
          <w:sz w:val="32"/>
          <w:szCs w:val="32"/>
        </w:rPr>
        <w:t>经费支出</w:t>
      </w:r>
      <w:r>
        <w:rPr>
          <w:rFonts w:ascii="仿宋" w:eastAsia="仿宋" w:hAnsi="仿宋"/>
          <w:sz w:val="32"/>
          <w:szCs w:val="32"/>
        </w:rPr>
        <w:t>。公务接待费支出较年初预算</w:t>
      </w:r>
      <w:r>
        <w:rPr>
          <w:rFonts w:ascii="仿宋" w:eastAsia="仿宋" w:hAnsi="仿宋" w:hint="eastAsia"/>
          <w:sz w:val="32"/>
          <w:szCs w:val="32"/>
        </w:rPr>
        <w:t>无增减变化</w:t>
      </w:r>
      <w:r>
        <w:rPr>
          <w:rFonts w:ascii="仿宋" w:eastAsia="仿宋" w:hAnsi="仿宋"/>
          <w:sz w:val="32"/>
          <w:szCs w:val="32"/>
        </w:rPr>
        <w:t>；较2016年度决算</w:t>
      </w:r>
      <w:r>
        <w:rPr>
          <w:rFonts w:ascii="仿宋" w:eastAsia="仿宋" w:hAnsi="仿宋" w:hint="eastAsia"/>
          <w:sz w:val="32"/>
          <w:szCs w:val="32"/>
        </w:rPr>
        <w:t>无增减变化</w:t>
      </w:r>
      <w:r>
        <w:rPr>
          <w:rFonts w:ascii="仿宋" w:eastAsia="仿宋" w:hAnsi="仿宋"/>
          <w:sz w:val="32"/>
          <w:szCs w:val="32"/>
        </w:rPr>
        <w:t>。</w:t>
      </w:r>
    </w:p>
    <w:p w:rsidR="00EB675F" w:rsidRDefault="00330D23">
      <w:pPr>
        <w:pStyle w:val="2"/>
        <w:spacing w:before="0" w:after="0" w:line="584" w:lineRule="exact"/>
        <w:ind w:firstLineChars="200" w:firstLine="640"/>
        <w:rPr>
          <w:rFonts w:ascii="Times New Roman" w:eastAsia="黑体" w:hAnsi="Times New Roman"/>
          <w:b w:val="0"/>
        </w:rPr>
      </w:pPr>
      <w:r>
        <w:rPr>
          <w:rFonts w:ascii="Times New Roman" w:eastAsia="黑体" w:hAnsi="Times New Roman"/>
          <w:b w:val="0"/>
        </w:rPr>
        <w:t>六、绩效预算</w:t>
      </w:r>
      <w:r>
        <w:rPr>
          <w:rFonts w:ascii="Times New Roman" w:eastAsia="黑体" w:hAnsi="Times New Roman"/>
          <w:b w:val="0"/>
          <w:kern w:val="0"/>
        </w:rPr>
        <w:t>管理</w:t>
      </w:r>
      <w:r>
        <w:rPr>
          <w:rFonts w:ascii="Times New Roman" w:eastAsia="黑体" w:hAnsi="Times New Roman"/>
          <w:b w:val="0"/>
        </w:rPr>
        <w:t>工作开展情况说明</w:t>
      </w:r>
    </w:p>
    <w:p w:rsidR="00EB675F" w:rsidRDefault="00330D23">
      <w:pPr>
        <w:widowControl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kern w:val="0"/>
          <w:sz w:val="32"/>
          <w:szCs w:val="32"/>
        </w:rPr>
        <w:t>我部门认真按照《河北省预算绩效管理办法（试行）》、《河北省财政支出绩效评价管理办法》等制度规定，严格评价标准，准确把握绩效评价的内容与方法，确保评价质量。为了提高财政资金使用效益和效率，实现财政资金的规范性、安全性和有效性，按照《河北省人民政府关于深化推进预算绩效管理的意见》遵循“客观公正、公开透明”的原则，积极开展工作。</w:t>
      </w:r>
    </w:p>
    <w:p w:rsidR="00EB675F" w:rsidRDefault="00330D23">
      <w:pPr>
        <w:widowControl/>
        <w:ind w:firstLineChars="200" w:firstLine="640"/>
        <w:jc w:val="left"/>
        <w:rPr>
          <w:rFonts w:ascii="仿宋" w:eastAsia="仿宋" w:hAnsi="仿宋" w:cs="仿宋"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kern w:val="0"/>
          <w:sz w:val="32"/>
          <w:szCs w:val="32"/>
        </w:rPr>
        <w:t>一是制定绩效管理自评方案，进一步明确了评价工作的指导思想、方法步骤，细化了应达到的绩效目标和相应的绩效指标，完善了绩效评价工作体系。二是按照经济性、效率性、有效性的原则，定量分析与定性分析相结合的原则，真实性、科学性、规范性的原则，对重点项目制定绩效评价实施方案和绩效指标评价体系。</w:t>
      </w:r>
    </w:p>
    <w:p w:rsidR="00EB675F" w:rsidRDefault="00330D23">
      <w:pPr>
        <w:widowControl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kern w:val="0"/>
          <w:sz w:val="32"/>
          <w:szCs w:val="32"/>
        </w:rPr>
        <w:t>通过开展2017年专项项目绩效评价，我部门社会效益良好，绩效综合评价等级“优”。通过绩效评价，促进了项目管理水平的提高，进一步完善了规章制度；明确了各项目绩效目标，合理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lastRenderedPageBreak/>
        <w:t>设置内容全面、可操作性强的绩效评价指标，达到了绩效考核的目的。</w:t>
      </w:r>
    </w:p>
    <w:p w:rsidR="00EB675F" w:rsidRDefault="00330D23">
      <w:pPr>
        <w:pStyle w:val="2"/>
        <w:spacing w:before="0" w:after="0" w:line="584" w:lineRule="exact"/>
        <w:ind w:firstLineChars="200" w:firstLine="640"/>
        <w:rPr>
          <w:rFonts w:ascii="Times New Roman" w:eastAsia="黑体" w:hAnsi="Times New Roman"/>
          <w:b w:val="0"/>
        </w:rPr>
      </w:pPr>
      <w:r>
        <w:rPr>
          <w:rFonts w:ascii="Times New Roman" w:eastAsia="黑体" w:hAnsi="Times New Roman"/>
          <w:b w:val="0"/>
        </w:rPr>
        <w:t>七、其他重要事项的说明</w:t>
      </w:r>
      <w:bookmarkStart w:id="0" w:name="_GoBack"/>
      <w:bookmarkEnd w:id="0"/>
    </w:p>
    <w:p w:rsidR="00EB675F" w:rsidRDefault="00330D23">
      <w:pPr>
        <w:pStyle w:val="3"/>
        <w:spacing w:before="0" w:after="0" w:line="584" w:lineRule="exact"/>
        <w:ind w:firstLineChars="200" w:firstLine="643"/>
        <w:rPr>
          <w:rFonts w:ascii="楷体" w:eastAsia="楷体" w:hAnsi="楷体"/>
        </w:rPr>
      </w:pPr>
      <w:r>
        <w:rPr>
          <w:rFonts w:ascii="楷体" w:eastAsia="楷体" w:hAnsi="楷体"/>
        </w:rPr>
        <w:t>（一）机关运行经费情况</w:t>
      </w:r>
    </w:p>
    <w:p w:rsidR="00EB675F" w:rsidRDefault="00330D23">
      <w:pPr>
        <w:adjustRightInd w:val="0"/>
        <w:snapToGrid w:val="0"/>
        <w:spacing w:line="584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本部门2017年度机关运行经费支出</w:t>
      </w:r>
      <w:r>
        <w:rPr>
          <w:rFonts w:ascii="仿宋" w:eastAsia="仿宋" w:hAnsi="仿宋" w:hint="eastAsia"/>
          <w:sz w:val="32"/>
          <w:szCs w:val="32"/>
        </w:rPr>
        <w:t>35.46</w:t>
      </w:r>
      <w:r>
        <w:rPr>
          <w:rFonts w:ascii="仿宋" w:eastAsia="仿宋" w:hAnsi="仿宋"/>
          <w:sz w:val="32"/>
          <w:szCs w:val="32"/>
        </w:rPr>
        <w:t>万元，比2016年度增加</w:t>
      </w:r>
      <w:r>
        <w:rPr>
          <w:rFonts w:ascii="仿宋" w:eastAsia="仿宋" w:hAnsi="仿宋" w:hint="eastAsia"/>
          <w:sz w:val="32"/>
          <w:szCs w:val="32"/>
        </w:rPr>
        <w:t>8.30</w:t>
      </w:r>
      <w:r>
        <w:rPr>
          <w:rFonts w:ascii="仿宋" w:eastAsia="仿宋" w:hAnsi="仿宋"/>
          <w:sz w:val="32"/>
          <w:szCs w:val="32"/>
        </w:rPr>
        <w:t>万元，增长</w:t>
      </w:r>
      <w:r>
        <w:rPr>
          <w:rFonts w:ascii="仿宋" w:eastAsia="仿宋" w:hAnsi="仿宋" w:hint="eastAsia"/>
          <w:sz w:val="32"/>
          <w:szCs w:val="32"/>
        </w:rPr>
        <w:t>29.27</w:t>
      </w:r>
      <w:r>
        <w:rPr>
          <w:rFonts w:ascii="仿宋" w:eastAsia="仿宋" w:hAnsi="仿宋"/>
          <w:sz w:val="32"/>
          <w:szCs w:val="32"/>
        </w:rPr>
        <w:t>%。主要原因是</w:t>
      </w:r>
      <w:r>
        <w:rPr>
          <w:rFonts w:ascii="仿宋" w:eastAsia="仿宋" w:hAnsi="仿宋" w:hint="eastAsia"/>
          <w:sz w:val="32"/>
          <w:szCs w:val="32"/>
        </w:rPr>
        <w:t>业务增加</w:t>
      </w:r>
      <w:r>
        <w:rPr>
          <w:rFonts w:ascii="仿宋" w:eastAsia="仿宋" w:hAnsi="仿宋"/>
          <w:sz w:val="32"/>
          <w:szCs w:val="32"/>
        </w:rPr>
        <w:t>。</w:t>
      </w:r>
    </w:p>
    <w:p w:rsidR="00EB675F" w:rsidRDefault="00330D23">
      <w:pPr>
        <w:pStyle w:val="3"/>
        <w:spacing w:before="0" w:after="0" w:line="584" w:lineRule="exact"/>
        <w:ind w:firstLineChars="200" w:firstLine="643"/>
        <w:rPr>
          <w:rFonts w:ascii="楷体" w:eastAsia="楷体" w:hAnsi="楷体"/>
        </w:rPr>
      </w:pPr>
      <w:r>
        <w:rPr>
          <w:rFonts w:ascii="楷体" w:eastAsia="楷体" w:hAnsi="楷体"/>
        </w:rPr>
        <w:t>（二）政府采购情况</w:t>
      </w:r>
    </w:p>
    <w:p w:rsidR="00EB675F" w:rsidRDefault="00330D23">
      <w:pPr>
        <w:adjustRightInd w:val="0"/>
        <w:snapToGrid w:val="0"/>
        <w:spacing w:line="584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本部门2017年度政府采购支出总额</w:t>
      </w:r>
      <w:r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/>
          <w:sz w:val="32"/>
          <w:szCs w:val="32"/>
        </w:rPr>
        <w:t>万元，其中：政府采购货物支出</w:t>
      </w:r>
      <w:r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/>
          <w:sz w:val="32"/>
          <w:szCs w:val="32"/>
        </w:rPr>
        <w:t>万元、政府采购工程支出</w:t>
      </w:r>
      <w:r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/>
          <w:sz w:val="32"/>
          <w:szCs w:val="32"/>
        </w:rPr>
        <w:t>万元、政府采购服务支出</w:t>
      </w:r>
      <w:r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/>
          <w:sz w:val="32"/>
          <w:szCs w:val="32"/>
        </w:rPr>
        <w:t>万元。</w:t>
      </w:r>
    </w:p>
    <w:p w:rsidR="00EB675F" w:rsidRDefault="00330D23">
      <w:pPr>
        <w:pStyle w:val="3"/>
        <w:spacing w:before="0" w:after="0" w:line="584" w:lineRule="exact"/>
        <w:ind w:firstLineChars="200" w:firstLine="643"/>
        <w:rPr>
          <w:rFonts w:ascii="楷体" w:eastAsia="楷体" w:hAnsi="楷体"/>
        </w:rPr>
      </w:pPr>
      <w:r>
        <w:rPr>
          <w:rFonts w:ascii="楷体" w:eastAsia="楷体" w:hAnsi="楷体"/>
        </w:rPr>
        <w:t>（三）国有资产占用情况</w:t>
      </w:r>
    </w:p>
    <w:p w:rsidR="00EB675F" w:rsidRDefault="00330D23">
      <w:pPr>
        <w:adjustRightInd w:val="0"/>
        <w:snapToGrid w:val="0"/>
        <w:spacing w:line="584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截至2017年12月31日，本部门共有车辆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辆，其中，市级领导干部用车</w:t>
      </w:r>
      <w:r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/>
          <w:sz w:val="32"/>
          <w:szCs w:val="32"/>
        </w:rPr>
        <w:t>辆、一般公务用车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辆、一般执法执勤用车</w:t>
      </w:r>
      <w:r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/>
          <w:sz w:val="32"/>
          <w:szCs w:val="32"/>
        </w:rPr>
        <w:t>辆、特种专业技术用车</w:t>
      </w:r>
      <w:r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/>
          <w:sz w:val="32"/>
          <w:szCs w:val="32"/>
        </w:rPr>
        <w:t>辆、其他用车</w:t>
      </w:r>
      <w:r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/>
          <w:sz w:val="32"/>
          <w:szCs w:val="32"/>
        </w:rPr>
        <w:t>辆，；单位价值50万元以上大型设备</w:t>
      </w:r>
      <w:r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/>
          <w:sz w:val="32"/>
          <w:szCs w:val="32"/>
        </w:rPr>
        <w:t>台（套），单位价值100万元以上大型设备</w:t>
      </w:r>
      <w:r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/>
          <w:sz w:val="32"/>
          <w:szCs w:val="32"/>
        </w:rPr>
        <w:t>台（套）。</w:t>
      </w:r>
    </w:p>
    <w:p w:rsidR="00EB675F" w:rsidRDefault="00330D23">
      <w:pPr>
        <w:pStyle w:val="3"/>
        <w:spacing w:before="0" w:after="0" w:line="584" w:lineRule="exact"/>
        <w:ind w:firstLineChars="200" w:firstLine="643"/>
        <w:rPr>
          <w:rFonts w:ascii="楷体" w:eastAsia="楷体" w:hAnsi="楷体"/>
        </w:rPr>
      </w:pPr>
      <w:r>
        <w:rPr>
          <w:rFonts w:ascii="楷体" w:eastAsia="楷体" w:hAnsi="楷体"/>
        </w:rPr>
        <w:t>（四）其他需要说明的情况</w:t>
      </w:r>
    </w:p>
    <w:p w:rsidR="00EB675F" w:rsidRDefault="00330D23">
      <w:pPr>
        <w:adjustRightInd w:val="0"/>
        <w:snapToGrid w:val="0"/>
        <w:spacing w:line="584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1、本部门2017年度</w:t>
      </w:r>
      <w:r>
        <w:rPr>
          <w:rFonts w:ascii="仿宋" w:eastAsia="仿宋" w:hAnsi="仿宋" w:hint="eastAsia"/>
          <w:sz w:val="32"/>
          <w:szCs w:val="32"/>
        </w:rPr>
        <w:t>政府性基金预算财政拨款</w:t>
      </w:r>
      <w:r>
        <w:rPr>
          <w:rFonts w:ascii="仿宋" w:eastAsia="仿宋" w:hAnsi="仿宋"/>
          <w:sz w:val="32"/>
          <w:szCs w:val="32"/>
        </w:rPr>
        <w:t>无收支及结转结余情况，故</w:t>
      </w:r>
      <w:r>
        <w:rPr>
          <w:rFonts w:ascii="仿宋" w:eastAsia="仿宋" w:hAnsi="仿宋" w:hint="eastAsia"/>
          <w:sz w:val="32"/>
          <w:szCs w:val="32"/>
        </w:rPr>
        <w:t>财决批复07</w:t>
      </w:r>
      <w:r>
        <w:rPr>
          <w:rFonts w:ascii="仿宋" w:eastAsia="仿宋" w:hAnsi="仿宋"/>
          <w:sz w:val="32"/>
          <w:szCs w:val="32"/>
        </w:rPr>
        <w:t>表以空表列</w:t>
      </w:r>
      <w:r>
        <w:rPr>
          <w:rFonts w:ascii="仿宋" w:eastAsia="仿宋" w:hAnsi="仿宋" w:hint="eastAsia"/>
          <w:sz w:val="32"/>
          <w:szCs w:val="32"/>
        </w:rPr>
        <w:t>；</w:t>
      </w:r>
      <w:r>
        <w:rPr>
          <w:rFonts w:ascii="仿宋" w:eastAsia="仿宋" w:hAnsi="仿宋"/>
          <w:sz w:val="32"/>
          <w:szCs w:val="32"/>
        </w:rPr>
        <w:t>本部门2017年度</w:t>
      </w:r>
      <w:r>
        <w:rPr>
          <w:rFonts w:ascii="仿宋" w:eastAsia="仿宋" w:hAnsi="仿宋" w:hint="eastAsia"/>
          <w:sz w:val="32"/>
          <w:szCs w:val="32"/>
        </w:rPr>
        <w:t>国有资本经营预算财政拨款</w:t>
      </w:r>
      <w:r>
        <w:rPr>
          <w:rFonts w:ascii="仿宋" w:eastAsia="仿宋" w:hAnsi="仿宋"/>
          <w:sz w:val="32"/>
          <w:szCs w:val="32"/>
        </w:rPr>
        <w:t>无收支及结转结余情况，故</w:t>
      </w:r>
      <w:r>
        <w:rPr>
          <w:rFonts w:ascii="仿宋" w:eastAsia="仿宋" w:hAnsi="仿宋" w:hint="eastAsia"/>
          <w:sz w:val="32"/>
          <w:szCs w:val="32"/>
        </w:rPr>
        <w:t>财决公开08</w:t>
      </w:r>
      <w:r>
        <w:rPr>
          <w:rFonts w:ascii="仿宋" w:eastAsia="仿宋" w:hAnsi="仿宋"/>
          <w:sz w:val="32"/>
          <w:szCs w:val="32"/>
        </w:rPr>
        <w:t>表以空表列。</w:t>
      </w:r>
    </w:p>
    <w:p w:rsidR="00EB675F" w:rsidRDefault="00330D23">
      <w:pPr>
        <w:adjustRightInd w:val="0"/>
        <w:snapToGrid w:val="0"/>
        <w:spacing w:line="584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lastRenderedPageBreak/>
        <w:t>2、由于决算公开表格中金额数值应当保留两位小数，公开数据为四舍五入计算结果，个别数据合计项与分项之和存在小数点后差额，特此说明。</w:t>
      </w:r>
    </w:p>
    <w:p w:rsidR="00EB675F" w:rsidRDefault="00EB675F">
      <w:pPr>
        <w:adjustRightInd w:val="0"/>
        <w:snapToGrid w:val="0"/>
        <w:spacing w:line="584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EB675F" w:rsidRDefault="00EB675F">
      <w:pPr>
        <w:adjustRightInd w:val="0"/>
        <w:snapToGrid w:val="0"/>
        <w:spacing w:line="584" w:lineRule="exact"/>
        <w:ind w:firstLineChars="200" w:firstLine="640"/>
        <w:rPr>
          <w:rFonts w:eastAsia="仿宋_GB2312"/>
          <w:sz w:val="32"/>
          <w:szCs w:val="32"/>
        </w:rPr>
      </w:pPr>
    </w:p>
    <w:p w:rsidR="00EB675F" w:rsidRDefault="00EB675F">
      <w:pPr>
        <w:adjustRightInd w:val="0"/>
        <w:snapToGrid w:val="0"/>
        <w:spacing w:line="584" w:lineRule="exact"/>
        <w:ind w:firstLineChars="200" w:firstLine="640"/>
        <w:rPr>
          <w:rFonts w:eastAsia="仿宋_GB2312"/>
          <w:sz w:val="32"/>
          <w:szCs w:val="32"/>
        </w:rPr>
      </w:pPr>
    </w:p>
    <w:p w:rsidR="00EB675F" w:rsidRDefault="00330D23">
      <w:pPr>
        <w:adjustRightInd w:val="0"/>
        <w:snapToGrid w:val="0"/>
        <w:spacing w:line="584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br/>
      </w:r>
    </w:p>
    <w:p w:rsidR="00EB675F" w:rsidRDefault="00EB675F">
      <w:pPr>
        <w:adjustRightInd w:val="0"/>
        <w:snapToGrid w:val="0"/>
        <w:spacing w:line="584" w:lineRule="exact"/>
        <w:ind w:firstLineChars="200" w:firstLine="640"/>
        <w:rPr>
          <w:rFonts w:eastAsia="仿宋_GB2312"/>
          <w:sz w:val="32"/>
          <w:szCs w:val="32"/>
        </w:rPr>
      </w:pPr>
    </w:p>
    <w:p w:rsidR="00EB675F" w:rsidRDefault="00EB675F">
      <w:pPr>
        <w:adjustRightInd w:val="0"/>
        <w:snapToGrid w:val="0"/>
        <w:spacing w:line="584" w:lineRule="exact"/>
        <w:ind w:firstLineChars="200" w:firstLine="640"/>
        <w:rPr>
          <w:rFonts w:eastAsia="仿宋_GB2312"/>
          <w:sz w:val="32"/>
          <w:szCs w:val="32"/>
        </w:rPr>
      </w:pPr>
    </w:p>
    <w:p w:rsidR="00EB675F" w:rsidRDefault="00EB675F">
      <w:pPr>
        <w:adjustRightInd w:val="0"/>
        <w:snapToGrid w:val="0"/>
        <w:spacing w:line="584" w:lineRule="exact"/>
        <w:ind w:firstLineChars="200" w:firstLine="640"/>
        <w:rPr>
          <w:rFonts w:eastAsia="仿宋_GB2312"/>
          <w:sz w:val="32"/>
          <w:szCs w:val="32"/>
        </w:rPr>
      </w:pPr>
    </w:p>
    <w:p w:rsidR="00EB675F" w:rsidRDefault="00EB675F">
      <w:pPr>
        <w:adjustRightInd w:val="0"/>
        <w:snapToGrid w:val="0"/>
        <w:spacing w:line="584" w:lineRule="exact"/>
        <w:ind w:firstLineChars="200" w:firstLine="640"/>
        <w:rPr>
          <w:rFonts w:eastAsia="仿宋_GB2312"/>
          <w:sz w:val="32"/>
          <w:szCs w:val="32"/>
        </w:rPr>
      </w:pPr>
    </w:p>
    <w:p w:rsidR="00EB675F" w:rsidRDefault="00EB675F">
      <w:pPr>
        <w:adjustRightInd w:val="0"/>
        <w:snapToGrid w:val="0"/>
        <w:spacing w:line="584" w:lineRule="exact"/>
        <w:ind w:firstLineChars="200" w:firstLine="640"/>
        <w:rPr>
          <w:rFonts w:eastAsia="仿宋_GB2312"/>
          <w:sz w:val="32"/>
          <w:szCs w:val="32"/>
        </w:rPr>
      </w:pPr>
    </w:p>
    <w:p w:rsidR="00EB675F" w:rsidRDefault="00EB675F">
      <w:pPr>
        <w:adjustRightInd w:val="0"/>
        <w:snapToGrid w:val="0"/>
        <w:spacing w:line="584" w:lineRule="exact"/>
        <w:ind w:firstLineChars="200" w:firstLine="640"/>
        <w:rPr>
          <w:rFonts w:eastAsia="仿宋_GB2312"/>
          <w:sz w:val="32"/>
          <w:szCs w:val="32"/>
        </w:rPr>
      </w:pPr>
    </w:p>
    <w:p w:rsidR="00EB675F" w:rsidRDefault="00EB675F">
      <w:pPr>
        <w:adjustRightInd w:val="0"/>
        <w:snapToGrid w:val="0"/>
        <w:spacing w:line="584" w:lineRule="exact"/>
        <w:ind w:firstLineChars="200" w:firstLine="640"/>
        <w:rPr>
          <w:rFonts w:eastAsia="仿宋_GB2312"/>
          <w:sz w:val="32"/>
          <w:szCs w:val="32"/>
        </w:rPr>
      </w:pPr>
    </w:p>
    <w:p w:rsidR="00EB675F" w:rsidRDefault="00EB675F">
      <w:pPr>
        <w:adjustRightInd w:val="0"/>
        <w:snapToGrid w:val="0"/>
        <w:spacing w:line="584" w:lineRule="exact"/>
        <w:ind w:firstLineChars="200" w:firstLine="640"/>
        <w:rPr>
          <w:rFonts w:eastAsia="仿宋_GB2312"/>
          <w:sz w:val="32"/>
          <w:szCs w:val="32"/>
        </w:rPr>
      </w:pPr>
    </w:p>
    <w:p w:rsidR="00EB675F" w:rsidRDefault="00EB675F">
      <w:pPr>
        <w:adjustRightInd w:val="0"/>
        <w:snapToGrid w:val="0"/>
        <w:spacing w:line="584" w:lineRule="exact"/>
        <w:ind w:firstLineChars="200" w:firstLine="640"/>
        <w:rPr>
          <w:rFonts w:eastAsia="仿宋_GB2312"/>
          <w:sz w:val="32"/>
          <w:szCs w:val="32"/>
        </w:rPr>
      </w:pPr>
    </w:p>
    <w:sectPr w:rsidR="00EB675F" w:rsidSect="0077019A">
      <w:pgSz w:w="11906" w:h="16838"/>
      <w:pgMar w:top="1984" w:right="1531" w:bottom="1984" w:left="1531" w:header="851" w:footer="1417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819" w:rsidRDefault="00B04819" w:rsidP="00EB675F">
      <w:r>
        <w:separator/>
      </w:r>
    </w:p>
  </w:endnote>
  <w:endnote w:type="continuationSeparator" w:id="0">
    <w:p w:rsidR="00B04819" w:rsidRDefault="00B04819" w:rsidP="00EB67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819" w:rsidRDefault="00B04819" w:rsidP="00EB675F">
      <w:r>
        <w:separator/>
      </w:r>
    </w:p>
  </w:footnote>
  <w:footnote w:type="continuationSeparator" w:id="0">
    <w:p w:rsidR="00B04819" w:rsidRDefault="00B04819" w:rsidP="00EB67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3B5EC66"/>
    <w:multiLevelType w:val="singleLevel"/>
    <w:tmpl w:val="B3B5EC66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8AC5897"/>
    <w:rsid w:val="002B080D"/>
    <w:rsid w:val="00330D23"/>
    <w:rsid w:val="00594864"/>
    <w:rsid w:val="0077019A"/>
    <w:rsid w:val="007D798D"/>
    <w:rsid w:val="00B04819"/>
    <w:rsid w:val="00EB675F"/>
    <w:rsid w:val="00EF5245"/>
    <w:rsid w:val="28AC5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675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qFormat/>
    <w:rsid w:val="00EB675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semiHidden/>
    <w:unhideWhenUsed/>
    <w:qFormat/>
    <w:rsid w:val="00EB675F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semiHidden/>
    <w:unhideWhenUsed/>
    <w:qFormat/>
    <w:rsid w:val="00EB675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67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栀子花</dc:creator>
  <cp:lastModifiedBy>Administrator</cp:lastModifiedBy>
  <cp:revision>6</cp:revision>
  <dcterms:created xsi:type="dcterms:W3CDTF">2018-11-29T07:40:00Z</dcterms:created>
  <dcterms:modified xsi:type="dcterms:W3CDTF">2018-11-30T02:17:00Z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