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6406515</wp:posOffset>
                </wp:positionV>
                <wp:extent cx="617474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7474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564</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中共</w:t>
                            </w:r>
                            <w:r>
                              <w:rPr>
                                <w:rFonts w:hint="eastAsia" w:ascii="楷体_GB2312" w:hAnsi="楷体_GB2312" w:eastAsia="楷体_GB2312" w:cs="楷体_GB2312"/>
                                <w:color w:val="000000"/>
                                <w:sz w:val="40"/>
                                <w:szCs w:val="40"/>
                              </w:rPr>
                              <w:t>邯郸市永年区委机构编制委员会办公室</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5pt;margin-top:504.45pt;height:84pt;width:486.2pt;z-index:251662336;mso-width-relative:page;mso-height-relative:page;" filled="f" stroked="f" coordsize="21600,21600" o:gfxdata="UEsDBAoAAAAAAIdO4kAAAAAAAAAAAAAAAAAEAAAAZHJzL1BLAwQUAAAACACHTuJAqDKgeNcAAAAL&#10;AQAADwAAAGRycy9kb3ducmV2LnhtbE2PS0/DMBCE70j8B2uRuFE7PNomxOkBxBVEeUjctvE2iYjX&#10;Uew24d+znOhtd2Y0+225mX2vjjTGLrCFbGFAEdfBddxYeH97ulqDignZYR+YLPxQhE11flZi4cLE&#10;r3TcpkZJCccCLbQpDYXWsW7JY1yEgVi8fRg9JlnHRrsRJyn3vb42Zqk9diwXWhzooaX6e3vwFj6e&#10;91+ft+alefR3wxRmo9nn2trLi8zcg0o0p/8w/OELOlTCtAsHdlH1Fpa5BEU2Zi2TBPJVfgNqJ1K2&#10;ElNXpT79ofoFUEsDBBQAAAAIAIdO4kA4LXsRJAIAACoEAAAOAAAAZHJzL2Uyb0RvYy54bWytU0tu&#10;2zAQ3RfoHQjua1mGP4lgOUhjpCiQfoC0B6ApyiJKcliStuQeoL1BVt1033P5HB1SimukmyyqhcDh&#10;zLyZ92a4vOq0InvhvART0nw0pkQYDpU025J+/nT76oISH5ipmAIjSnoQnl6tXr5YtrYQE2hAVcIR&#10;BDG+aG1JmxBskWWeN0IzPwIrDDprcJoFNN02qxxrEV2rbDIez7MWXGUdcOE93q57Jx0Q3XMAoa4l&#10;F2vgOy1M6FGdUCwgJd9I6+kqdVvXgocPde1FIKqkyDSkPxbB8yb+s9WSFVvHbCP50AJ7TgtPOGkm&#10;DRY9Qa1ZYGTn5D9QWnIHHuow4qCznkhSBFnk4yfa3DfMisQFpfb2JLr/f7D8/f6jI7Iq6YISwzQO&#10;/Pjw4/jz9/HXdzKJ8rTWFxh1bzEudK+hw6VJVL29A/7FEwM3DTNbce0ctI1gFbaXx8zsLLXH8RFk&#10;076DCuuwXYAE1NVOR+1QDYLoOJrDaTSiC4Tj5TxfTBdTdHH05eP5/GKchpex4jHdOh/eCNAkHkrq&#10;cPYJnu3vfIjtsOIxJFYzcCuVSvNXhrQlvZxNZinhzKNlwGVXUpcUC+KXeLFCmYFeZNRzC92mG+Ta&#10;QHVAog76dcPHhocG3DdKWly1kvqvO+YEJeqtQbEu82lkFpIxnS0maLhzz+bcwwxHqJIGSvrjTUj7&#10;3HO6RlFrmehG9ftOhl5xhZIKw7rHHT23U9TfJ77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gy&#10;oHjXAAAACwEAAA8AAAAAAAAAAQAgAAAAIgAAAGRycy9kb3ducmV2LnhtbFBLAQIUABQAAAAIAIdO&#10;4kA4LXsRJAIAACoEAAAOAAAAAAAAAAEAIAAAACYBAABkcnMvZTJvRG9jLnhtbFBLBQYAAAAABgAG&#10;AFkBAAC8BQ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564</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中共</w:t>
                      </w:r>
                      <w:r>
                        <w:rPr>
                          <w:rFonts w:hint="eastAsia" w:ascii="楷体_GB2312" w:hAnsi="楷体_GB2312" w:eastAsia="楷体_GB2312" w:cs="楷体_GB2312"/>
                          <w:color w:val="000000"/>
                          <w:sz w:val="40"/>
                          <w:szCs w:val="40"/>
                        </w:rPr>
                        <w:t>邯郸市永年区委机构编制委员会办公室</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0"/>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0"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贯彻落实党中央和省委、市委、区委关于行政管理体制和机构改革以及机构编制管理的政策法规，组织拟订相关政策规定并监督实施。管理和指导各级党委、人大、政府、政协、监察委机关，各民主党派、人民团体机关以及全区事业单位的机构编制工作。</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（二）组织拟订全区行政管理体制改革和区委、区政府机构改革方案并组织实施。指导全区行政管理体制和机构改革以及机构编制管理工作；负责行政执法体制改革工作。</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（三）协调区委、区政府各部门的职能配置及其调整。协调区委、区政府单位之间以及区直部门与各乡镇之间的职责分工。</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审核或审批区委、区政府各部门及各部门派出机构的职能配置、机构设置、人员编制和领导职数；审核区人大、区政协、区监察委和区级各民主党派、人民团体机关的职能配置、机构设置、人员编制和领导职数。</w:t>
      </w:r>
    </w:p>
    <w:p>
      <w:pPr>
        <w:snapToGrid w:val="0"/>
        <w:spacing w:line="58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五）审核区党委、政府各部门机构设置和调整事宜；审核区人大、政协、监察委和各民主党派、人民团体机关机构设置和调整事宜；审核乡镇机构编制分类；负责需要承办的双重管理部门（单位）机构编制有关事宜。</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组织拟订全区事业单位管理体制和机构改革方案。制定各类事业单位人员编制管理办法，负责推进事业单位机构编制标准体系建设；审核或审批事业单位的机构编制事宜；指导全区事业单位管理体制改革和机构编制管理工作；负责全区党政群机关统一社会信用代码赋码管理工作，负责全区事业单位法人登记管理和监督检查工作。</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（七）指导全区开发区（园区）行政管理体制改革工作。组织拟订区级以上开发区（园区）机构编制管理办法并组织实施，审核区级以上开发区（园区）职能配置、机构设置、人员编制和领导职数。</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（八）负责全区机构编制的总量控制和动态管理。负责机构编制实名制工作；负责全区机关事业单位编制使用核准；建立健全机构编制部门与有关单位间的协调配合约束机制。</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（九）负责对全区行政、事业单位管理体制和机构改革及机构编制执行情况的跟踪评估和监督检查。负责受理违反机构编制法规、纪律的检举、控告和投诉，对违反机构编制法规、纪律问题进行调查处理。</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（十）负责全区机构编制电子政务和信息化工作。负责全区机构编制统计工作；负责机构编制网站的建设管理以及网络安全工作；指导全区党政群机关、事业单位和其他非营利性单位网上名称管理工作。</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（十一）组织开展行政体制改革及机构编制管理创新基础性和前瞻性研究。</w:t>
      </w:r>
    </w:p>
    <w:p>
      <w:pPr>
        <w:snapToGrid w:val="0"/>
        <w:spacing w:line="580" w:lineRule="exac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（十二）完成区委、区政府和区委机构编制委员会交办的其他任务。</w:t>
      </w:r>
    </w:p>
    <w:p>
      <w:pPr>
        <w:keepNext/>
        <w:keepLines/>
        <w:spacing w:line="580" w:lineRule="exact"/>
        <w:ind w:firstLine="640" w:firstLineChars="200"/>
        <w:jc w:val="left"/>
        <w:outlineLvl w:val="0"/>
        <w:rPr>
          <w:rFonts w:hint="eastAsia" w:ascii="黑体" w:hAnsi="Calibri" w:eastAsia="黑体" w:cs="黑体"/>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从决算编报单位构成看，纳入2021年度本部门决算汇编范围的独立核算单位（以下简称“单位”）共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中共邯郸市永年区委机构编制委员会办公室</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275590</wp:posOffset>
            </wp:positionH>
            <wp:positionV relativeFrom="margin">
              <wp:posOffset>1767205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2021年度部门决算表</w:t>
      </w:r>
    </w:p>
    <w:tbl>
      <w:tblPr>
        <w:tblStyle w:val="6"/>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604"/>
        <w:gridCol w:w="750"/>
        <w:gridCol w:w="3272"/>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0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7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65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val="en-US" w:eastAsia="zh-CN" w:bidi="ar"/>
              </w:rPr>
              <w:t>中共邯郸市永年区委机构编制委员会</w:t>
            </w:r>
          </w:p>
        </w:tc>
        <w:tc>
          <w:tcPr>
            <w:tcW w:w="604" w:type="dxa"/>
            <w:tcBorders>
              <w:top w:val="nil"/>
              <w:left w:val="nil"/>
              <w:bottom w:val="nil"/>
              <w:right w:val="nil"/>
            </w:tcBorders>
            <w:shd w:val="clear" w:color="auto" w:fill="auto"/>
            <w:tcMar>
              <w:top w:w="15" w:type="dxa"/>
              <w:left w:w="15" w:type="dxa"/>
              <w:right w:w="15" w:type="dxa"/>
            </w:tcMar>
            <w:vAlign w:val="bottom"/>
          </w:tcPr>
          <w:p>
            <w:pPr>
              <w:jc w:val="center"/>
              <w:rPr>
                <w:rFonts w:hint="eastAsia" w:ascii="Arial" w:hAnsi="Arial" w:cs="Arial" w:eastAsiaTheme="minorEastAsia"/>
                <w:color w:val="000000"/>
                <w:sz w:val="18"/>
                <w:szCs w:val="18"/>
                <w:lang w:val="en-US" w:eastAsia="zh-CN"/>
              </w:rPr>
            </w:pPr>
            <w:r>
              <w:rPr>
                <w:rFonts w:hint="eastAsia" w:ascii="Arial" w:hAnsi="Arial" w:cs="Arial"/>
                <w:color w:val="000000"/>
                <w:sz w:val="18"/>
                <w:szCs w:val="18"/>
                <w:lang w:val="en-US" w:eastAsia="zh-CN"/>
              </w:rPr>
              <w:t>办公室</w:t>
            </w:r>
          </w:p>
        </w:tc>
        <w:tc>
          <w:tcPr>
            <w:tcW w:w="750" w:type="dxa"/>
            <w:tcBorders>
              <w:top w:val="nil"/>
              <w:left w:val="nil"/>
              <w:bottom w:val="nil"/>
              <w:right w:val="nil"/>
            </w:tcBorders>
            <w:shd w:val="clear" w:color="auto" w:fill="auto"/>
            <w:tcMar>
              <w:top w:w="15" w:type="dxa"/>
              <w:left w:w="15" w:type="dxa"/>
              <w:right w:w="15" w:type="dxa"/>
            </w:tcMar>
            <w:vAlign w:val="bottom"/>
          </w:tcPr>
          <w:p>
            <w:pPr>
              <w:jc w:val="center"/>
              <w:rPr>
                <w:rFonts w:ascii="Arial" w:hAnsi="Arial" w:cs="Arial"/>
                <w:color w:val="000000"/>
                <w:sz w:val="18"/>
                <w:szCs w:val="18"/>
              </w:rPr>
            </w:pPr>
          </w:p>
        </w:tc>
        <w:tc>
          <w:tcPr>
            <w:tcW w:w="465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7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6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163.14</w:t>
            </w: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136.29</w:t>
            </w: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16.13</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6.78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10.01</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163.14</w:t>
            </w: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169.21</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60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75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9.02</w:t>
            </w:r>
          </w:p>
        </w:tc>
        <w:tc>
          <w:tcPr>
            <w:tcW w:w="327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2.95</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172.16</w:t>
            </w:r>
          </w:p>
        </w:tc>
        <w:tc>
          <w:tcPr>
            <w:tcW w:w="3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172.16</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6"/>
        <w:tblW w:w="9580" w:type="dxa"/>
        <w:jc w:val="center"/>
        <w:tblLayout w:type="autofit"/>
        <w:tblCellMar>
          <w:top w:w="0" w:type="dxa"/>
          <w:left w:w="0" w:type="dxa"/>
          <w:bottom w:w="0" w:type="dxa"/>
          <w:right w:w="0" w:type="dxa"/>
        </w:tblCellMar>
      </w:tblPr>
      <w:tblGrid>
        <w:gridCol w:w="800"/>
        <w:gridCol w:w="2551"/>
        <w:gridCol w:w="845"/>
        <w:gridCol w:w="850"/>
        <w:gridCol w:w="874"/>
        <w:gridCol w:w="975"/>
        <w:gridCol w:w="10"/>
        <w:gridCol w:w="929"/>
        <w:gridCol w:w="892"/>
        <w:gridCol w:w="854"/>
      </w:tblGrid>
      <w:tr>
        <w:trPr>
          <w:trHeight w:val="670" w:hRule="atLeast"/>
          <w:jc w:val="center"/>
        </w:trPr>
        <w:tc>
          <w:tcPr>
            <w:tcW w:w="9580" w:type="dxa"/>
            <w:gridSpan w:val="10"/>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335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4196"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部门：中共邯郸市永年区委机构编制委员会办公</w:t>
            </w:r>
          </w:p>
        </w:tc>
        <w:tc>
          <w:tcPr>
            <w:tcW w:w="8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室</w:t>
            </w:r>
          </w:p>
        </w:tc>
        <w:tc>
          <w:tcPr>
            <w:tcW w:w="8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33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8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8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3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8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85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0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55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5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5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35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8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335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163.14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163.14</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67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一般公共服务支出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130.55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130.55</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党委办公厅（室）及相关机构事务</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130.55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130.55</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2013101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行政运行</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130.55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130.55</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社会保障和就业支出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行政事业单位养老支出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机关事业单位基本养老保险缴费支出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卫生健康支出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行政事业单位医疗</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行政单位医疗</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住房保障支出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9.68</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住房改革支出</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9.68</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住房公积金</w:t>
            </w: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9.68</w:t>
            </w: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0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723"/>
        <w:gridCol w:w="797"/>
        <w:gridCol w:w="1329"/>
        <w:gridCol w:w="993"/>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3625" w:type="dxa"/>
            <w:gridSpan w:val="5"/>
            <w:tcBorders>
              <w:top w:val="nil"/>
              <w:left w:val="nil"/>
              <w:bottom w:val="nil"/>
              <w:right w:val="nil"/>
            </w:tcBorders>
            <w:shd w:val="clear" w:color="auto" w:fill="auto"/>
            <w:noWrap/>
            <w:tcMar>
              <w:top w:w="15" w:type="dxa"/>
              <w:left w:w="15" w:type="dxa"/>
              <w:right w:w="15" w:type="dxa"/>
            </w:tcMar>
            <w:vAlign w:val="bottom"/>
          </w:tcPr>
          <w:p>
            <w:pPr>
              <w:jc w:val="left"/>
              <w:rPr>
                <w:rFonts w:ascii="Arial" w:hAnsi="Arial" w:cs="Arial"/>
                <w:color w:val="000000"/>
                <w:sz w:val="20"/>
                <w:szCs w:val="20"/>
              </w:rPr>
            </w:pPr>
            <w:r>
              <w:rPr>
                <w:rFonts w:hint="eastAsia" w:ascii="宋体" w:hAnsi="宋体" w:eastAsia="宋体" w:cs="宋体"/>
                <w:color w:val="000000"/>
                <w:kern w:val="0"/>
                <w:sz w:val="20"/>
                <w:szCs w:val="20"/>
              </w:rPr>
              <w:t>部门：中共邯郸市永年区委机构编制委员</w:t>
            </w:r>
          </w:p>
        </w:tc>
        <w:tc>
          <w:tcPr>
            <w:tcW w:w="1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会办公室</w:t>
            </w: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8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32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9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72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8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8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169.21</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169.21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一般公共服务支出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党委办公厅（室）及相关机构事务</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2013101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行政运行</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社会保障和就业支出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行政事业单位养老支出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机关事业单位基本养老保险缴费支出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卫生健康支出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行政事业单位医疗</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行政单位医疗</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住房保障支出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住房改革支出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住房公积金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11146" w:type="dxa"/>
        <w:jc w:val="center"/>
        <w:tblLayout w:type="fixed"/>
        <w:tblCellMar>
          <w:top w:w="0" w:type="dxa"/>
          <w:left w:w="0" w:type="dxa"/>
          <w:bottom w:w="0" w:type="dxa"/>
          <w:right w:w="0" w:type="dxa"/>
        </w:tblCellMar>
      </w:tblPr>
      <w:tblGrid>
        <w:gridCol w:w="2921"/>
        <w:gridCol w:w="696"/>
        <w:gridCol w:w="726"/>
        <w:gridCol w:w="3310"/>
        <w:gridCol w:w="604"/>
        <w:gridCol w:w="746"/>
        <w:gridCol w:w="723"/>
        <w:gridCol w:w="668"/>
        <w:gridCol w:w="752"/>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292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2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4343" w:type="dxa"/>
            <w:gridSpan w:val="3"/>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color w:val="000000"/>
                <w:sz w:val="20"/>
                <w:szCs w:val="20"/>
                <w:lang w:val="en-US"/>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中共邯郸市永年区委机构编制委员会办公室</w:t>
            </w:r>
          </w:p>
        </w:tc>
        <w:tc>
          <w:tcPr>
            <w:tcW w:w="33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0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085"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163.14</w:t>
            </w: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136.29</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136.29</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16.13</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16.13</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6.78</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6.78</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10.01</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10.01</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163.14</w:t>
            </w: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169.21</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169.21</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9.02</w:t>
            </w: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2.95</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2.95</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9.02</w:t>
            </w: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6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7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172.16</w:t>
            </w:r>
          </w:p>
        </w:tc>
        <w:tc>
          <w:tcPr>
            <w:tcW w:w="33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7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172.16</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172.16</w:t>
            </w:r>
          </w:p>
        </w:tc>
        <w:tc>
          <w:tcPr>
            <w:tcW w:w="6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16"/>
                <w:szCs w:val="16"/>
                <w:lang w:bidi="ar"/>
              </w:rPr>
              <w:t>注：本表反映部门本年度一般公共预算财政拨款、政府性基金预算财政拨款和国有资本经营预算财政拨款的总收支和年末结转结余情况。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6"/>
        <w:tblW w:w="9600" w:type="dxa"/>
        <w:jc w:val="center"/>
        <w:tblLayout w:type="fixed"/>
        <w:tblCellMar>
          <w:top w:w="0" w:type="dxa"/>
          <w:left w:w="0" w:type="dxa"/>
          <w:bottom w:w="0" w:type="dxa"/>
          <w:right w:w="0" w:type="dxa"/>
        </w:tblCellMar>
      </w:tblPr>
      <w:tblGrid>
        <w:gridCol w:w="1125"/>
        <w:gridCol w:w="90"/>
        <w:gridCol w:w="90"/>
        <w:gridCol w:w="1623"/>
        <w:gridCol w:w="2232"/>
        <w:gridCol w:w="2232"/>
        <w:gridCol w:w="2208"/>
      </w:tblGrid>
      <w:tr>
        <w:tblPrEx>
          <w:tblCellMar>
            <w:top w:w="0" w:type="dxa"/>
            <w:left w:w="0" w:type="dxa"/>
            <w:bottom w:w="0" w:type="dxa"/>
            <w:right w:w="0" w:type="dxa"/>
          </w:tblCellMar>
        </w:tblPrEx>
        <w:trPr>
          <w:trHeight w:val="600" w:hRule="atLeast"/>
          <w:jc w:val="center"/>
        </w:trPr>
        <w:tc>
          <w:tcPr>
            <w:tcW w:w="960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516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部门：中共邯郸市永年区委机构编制委员会办公室</w:t>
            </w:r>
          </w:p>
        </w:tc>
        <w:tc>
          <w:tcPr>
            <w:tcW w:w="444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67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2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169.21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169.21</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一般公共服务支出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党委办公厅（室）及相关机构事务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2013101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行政运行</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136.29</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社会保障和就业支出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行政事业单位养老支出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机关事业单位基本养老保险缴费支出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16.13</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卫生健康支出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行政事业单位医疗</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行政单位医疗</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6.78</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住房保障支出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住房改革支出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Arial"/>
                <w:color w:val="000000"/>
                <w:sz w:val="22"/>
              </w:rPr>
            </w:pPr>
            <w:r>
              <w:rPr>
                <w:rFonts w:hint="eastAsia" w:cs="Arial"/>
                <w:color w:val="000000"/>
                <w:sz w:val="22"/>
              </w:rPr>
              <w:t>住房公积金</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10.01</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7"/>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注：本表反映部门本年度一般公共预算财政拨款支出情况。</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5865"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sz w:val="20"/>
                <w:szCs w:val="20"/>
                <w:lang w:val="en-US" w:eastAsia="zh-CN"/>
              </w:rPr>
              <w:t>部门：中共邯郸市永年区委机构编制委员会办公室</w:t>
            </w: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151.86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17.35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89.22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7.82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15.16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9.51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16.13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0.60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6.78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30217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0.24</w:t>
            </w: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151.86</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17.35</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p/>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sz w:val="20"/>
                <w:szCs w:val="20"/>
                <w:lang w:val="en-US" w:eastAsia="zh-CN"/>
              </w:rPr>
              <w:t>中共邯郸市永年区委机构编制委员会办公室</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2.25</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2.25</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2.25</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2.25</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2.25</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tab/>
      </w:r>
      <w:r>
        <w:tab/>
      </w:r>
      <w:r>
        <w:tab/>
      </w:r>
      <w:r>
        <w:tab/>
      </w:r>
      <w:r>
        <w:tab/>
      </w:r>
      <w:r>
        <w:tab/>
      </w:r>
      <w:r>
        <w:tab/>
      </w:r>
      <w:r>
        <w:tab/>
      </w:r>
      <w:r>
        <w:tab/>
      </w:r>
      <w:r>
        <w:tab/>
      </w:r>
      <w:r>
        <w:br w:type="page"/>
      </w:r>
    </w:p>
    <w:tbl>
      <w:tblPr>
        <w:tblStyle w:val="6"/>
        <w:tblW w:w="9510" w:type="dxa"/>
        <w:jc w:val="center"/>
        <w:tblLayout w:type="fixed"/>
        <w:tblCellMar>
          <w:top w:w="0" w:type="dxa"/>
          <w:left w:w="0" w:type="dxa"/>
          <w:bottom w:w="0" w:type="dxa"/>
          <w:right w:w="0" w:type="dxa"/>
        </w:tblCellMar>
      </w:tblPr>
      <w:tblGrid>
        <w:gridCol w:w="1032"/>
        <w:gridCol w:w="60"/>
        <w:gridCol w:w="59"/>
        <w:gridCol w:w="1489"/>
        <w:gridCol w:w="1145"/>
        <w:gridCol w:w="1145"/>
        <w:gridCol w:w="1145"/>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4930" w:type="dxa"/>
            <w:gridSpan w:val="6"/>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sz w:val="20"/>
                <w:szCs w:val="20"/>
                <w:lang w:val="en-US" w:eastAsia="zh-CN"/>
              </w:rPr>
              <w:t>中共邯郸市永年区委机构编制委员会办公室</w:t>
            </w: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eastAsia="宋体" w:cs="宋体"/>
        </w:rPr>
        <w:t>注：本部门本年度无相关收支情况，按要求空表列示。</w:t>
      </w:r>
      <w:r>
        <w:rPr>
          <w:b/>
        </w:rPr>
        <w:br w:type="page"/>
      </w:r>
    </w:p>
    <w:tbl>
      <w:tblPr>
        <w:tblStyle w:val="6"/>
        <w:tblW w:w="9918" w:type="dxa"/>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5884"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sz w:val="20"/>
                <w:szCs w:val="20"/>
                <w:lang w:val="en-US" w:eastAsia="zh-CN"/>
              </w:rPr>
              <w:t>中共邯郸市永年区委机构编制委员会办公室</w:t>
            </w: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注：本部门本年度无相关支出情况，按要求空表列示。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本部门2021年度收、支总计（含结转和结余）</w:t>
      </w:r>
      <w:r>
        <w:rPr>
          <w:rFonts w:hint="eastAsia" w:ascii="仿宋_GB2312" w:hAnsi="Times New Roman" w:eastAsia="仿宋_GB2312" w:cs="DengXian-Regular"/>
          <w:sz w:val="32"/>
          <w:szCs w:val="32"/>
          <w:lang w:val="en-US" w:eastAsia="zh-CN"/>
        </w:rPr>
        <w:t>172.16</w:t>
      </w:r>
      <w:r>
        <w:rPr>
          <w:rFonts w:hint="eastAsia" w:ascii="仿宋_GB2312" w:hAnsi="Times New Roman" w:eastAsia="仿宋_GB2312" w:cs="DengXian-Regular"/>
          <w:sz w:val="32"/>
          <w:szCs w:val="32"/>
        </w:rPr>
        <w:t>万元。与2020年度决算相比，收支各增加</w:t>
      </w:r>
      <w:r>
        <w:rPr>
          <w:rFonts w:hint="eastAsia" w:ascii="仿宋_GB2312" w:hAnsi="Times New Roman" w:eastAsia="仿宋_GB2312" w:cs="DengXian-Regular"/>
          <w:sz w:val="32"/>
          <w:szCs w:val="32"/>
          <w:lang w:val="en-US" w:eastAsia="zh-CN"/>
        </w:rPr>
        <w:t>22.52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15.05</w:t>
      </w:r>
      <w:r>
        <w:rPr>
          <w:rFonts w:hint="eastAsia" w:ascii="仿宋_GB2312" w:hAnsi="Times New Roman" w:eastAsia="仿宋_GB2312" w:cs="DengXian-Regular"/>
          <w:sz w:val="32"/>
          <w:szCs w:val="32"/>
        </w:rPr>
        <w:t>%，主要原因是单位新招录六名公务员增加了人员经费。</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本部门2021年度收入合计</w:t>
      </w:r>
      <w:r>
        <w:rPr>
          <w:rFonts w:hint="eastAsia" w:ascii="仿宋_GB2312" w:hAnsi="Times New Roman" w:eastAsia="仿宋_GB2312" w:cs="DengXian-Regular"/>
          <w:sz w:val="32"/>
          <w:szCs w:val="32"/>
          <w:lang w:val="en-US" w:eastAsia="zh-CN"/>
        </w:rPr>
        <w:t>163.14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163.14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240" w:lineRule="auto"/>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rPr>
        <w:drawing>
          <wp:inline distT="0" distB="0" distL="114300" distR="114300">
            <wp:extent cx="4121150" cy="3328670"/>
            <wp:effectExtent l="0" t="0" r="12700" b="508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6"/>
                    <a:stretch>
                      <a:fillRect/>
                    </a:stretch>
                  </pic:blipFill>
                  <pic:spPr>
                    <a:xfrm>
                      <a:off x="0" y="0"/>
                      <a:ext cx="4121150" cy="3328670"/>
                    </a:xfrm>
                    <a:prstGeom prst="rect">
                      <a:avLst/>
                    </a:prstGeom>
                  </pic:spPr>
                </pic:pic>
              </a:graphicData>
            </a:graphic>
          </wp:inline>
        </w:drawing>
      </w:r>
    </w:p>
    <w:p>
      <w:pPr>
        <w:keepNext/>
        <w:keepLines/>
        <w:snapToGrid w:val="0"/>
        <w:spacing w:line="240" w:lineRule="auto"/>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本部门2021年度支出合计</w:t>
      </w:r>
      <w:r>
        <w:rPr>
          <w:rFonts w:hint="eastAsia" w:ascii="仿宋_GB2312" w:hAnsi="Times New Roman" w:eastAsia="仿宋_GB2312" w:cs="DengXian-Regular"/>
          <w:sz w:val="32"/>
          <w:szCs w:val="32"/>
          <w:lang w:val="en-US" w:eastAsia="zh-CN"/>
        </w:rPr>
        <w:t>169.21</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169.21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240" w:lineRule="auto"/>
        <w:jc w:val="center"/>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inline distT="0" distB="0" distL="114300" distR="114300">
            <wp:extent cx="3635375" cy="2695575"/>
            <wp:effectExtent l="0" t="0" r="3175" b="952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17"/>
                    <a:stretch>
                      <a:fillRect/>
                    </a:stretch>
                  </pic:blipFill>
                  <pic:spPr>
                    <a:xfrm>
                      <a:off x="0" y="0"/>
                      <a:ext cx="3635375" cy="2695575"/>
                    </a:xfrm>
                    <a:prstGeom prst="rect">
                      <a:avLst/>
                    </a:prstGeom>
                  </pic:spPr>
                </pic:pic>
              </a:graphicData>
            </a:graphic>
          </wp:inline>
        </w:drawing>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2021年度财政拨款收支均为一般公共预算财政拨款，其中本年收入163.14万元,比2020年度增加17.08万元，增长11.69%，主要是2021年度单位新招录六名公务员增加了人员经费；本年支出169.21万元，增加28.59万元，增长20.33%，主要是单位新招录了人员增加了人员经费，疫情防控增加了办公经费。</w:t>
      </w:r>
      <w:r>
        <w:rPr>
          <w:rFonts w:hint="eastAsia" w:ascii="仿宋_GB2312" w:hAnsi="Times New Roman" w:eastAsia="仿宋_GB2312" w:cs="DengXian-Regular"/>
          <w:sz w:val="32"/>
          <w:szCs w:val="32"/>
          <w:lang w:val="en-US" w:eastAsia="zh-CN"/>
        </w:rPr>
        <w:t>具体情况如下：</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163.14万元,比2020年度增加17.08万元，增长11.69%，主要是2021年度单位新招录六名公务员增加了人员经费；本年支出169.21万元，增加28.59万元，增长20.33%，主要是单位新招录了人员增加了人员经费，疫情防控增加了办公经费。</w:t>
      </w:r>
    </w:p>
    <w:p>
      <w:pPr>
        <w:adjustRightInd w:val="0"/>
        <w:snapToGrid w:val="0"/>
        <w:spacing w:line="240" w:lineRule="auto"/>
        <w:jc w:val="center"/>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万元，比上年增加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万元，增长0%，主要原因是</w:t>
      </w:r>
      <w:r>
        <w:rPr>
          <w:rFonts w:hint="eastAsia" w:ascii="仿宋_GB2312" w:hAnsi="Times New Roman" w:eastAsia="仿宋_GB2312" w:cs="DengXian-Regular"/>
          <w:sz w:val="32"/>
          <w:szCs w:val="32"/>
          <w:lang w:val="en-US" w:eastAsia="zh-CN"/>
        </w:rPr>
        <w:t>本年度没有政府性基金预算财政拨款收入</w:t>
      </w:r>
      <w:r>
        <w:rPr>
          <w:rFonts w:hint="eastAsia" w:ascii="仿宋_GB2312" w:hAnsi="Times New Roman" w:eastAsia="仿宋_GB2312" w:cs="DengXian-Regular"/>
          <w:sz w:val="32"/>
          <w:szCs w:val="32"/>
        </w:rPr>
        <w:t>；本年支出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万元，比上年增加0万元，增长0%，主要是</w:t>
      </w:r>
      <w:r>
        <w:rPr>
          <w:rFonts w:hint="eastAsia" w:ascii="仿宋_GB2312" w:hAnsi="Times New Roman" w:eastAsia="仿宋_GB2312" w:cs="DengXian-Regular"/>
          <w:sz w:val="32"/>
          <w:szCs w:val="32"/>
          <w:lang w:val="en-US" w:eastAsia="zh-CN"/>
        </w:rPr>
        <w:t>本年度没有</w:t>
      </w:r>
      <w:r>
        <w:rPr>
          <w:rFonts w:hint="eastAsia" w:ascii="仿宋_GB2312" w:hAnsi="Times New Roman" w:eastAsia="仿宋_GB2312" w:cs="DengXian-Regular"/>
          <w:sz w:val="32"/>
          <w:szCs w:val="32"/>
        </w:rPr>
        <w:t>政府性基金预算财政拨款支出。</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万元，比上年增加0万元，增长0%，主要原因是本年度没有国有资本经营预算财政拨款本年收入；本年支出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万元，比上年增加0万元，增长0%，主要是本年度没有国有资本经营预算财政拨款本年支出。</w:t>
      </w:r>
    </w:p>
    <w:p>
      <w:pPr>
        <w:adjustRightInd w:val="0"/>
        <w:snapToGrid w:val="0"/>
        <w:spacing w:line="240" w:lineRule="auto"/>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inline distT="0" distB="0" distL="114300" distR="114300">
            <wp:extent cx="4178300" cy="2481580"/>
            <wp:effectExtent l="0" t="0" r="12700" b="13970"/>
            <wp:docPr id="15" name="图片 1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3"/>
                    <pic:cNvPicPr>
                      <a:picLocks noChangeAspect="1"/>
                    </pic:cNvPicPr>
                  </pic:nvPicPr>
                  <pic:blipFill>
                    <a:blip r:embed="rId18"/>
                    <a:stretch>
                      <a:fillRect/>
                    </a:stretch>
                  </pic:blipFill>
                  <pic:spPr>
                    <a:xfrm>
                      <a:off x="0" y="0"/>
                      <a:ext cx="4178300" cy="2481580"/>
                    </a:xfrm>
                    <a:prstGeom prst="rect">
                      <a:avLst/>
                    </a:prstGeom>
                  </pic:spPr>
                </pic:pic>
              </a:graphicData>
            </a:graphic>
          </wp:inline>
        </w:drawing>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本部门2021年度一般公共预算财政拨款收入163.14万元，完成年初预算的98.25%,比年初预算减少2.91万元，决算数小于预算数主要原因是</w:t>
      </w:r>
      <w:r>
        <w:rPr>
          <w:rFonts w:hint="eastAsia" w:ascii="仿宋_GB2312" w:hAnsi="Times New Roman" w:eastAsia="仿宋_GB2312" w:cs="DengXian-Regular"/>
          <w:sz w:val="32"/>
          <w:szCs w:val="32"/>
          <w:lang w:val="en-US" w:eastAsia="zh-CN"/>
        </w:rPr>
        <w:t>有年初结转和结余</w:t>
      </w:r>
      <w:r>
        <w:rPr>
          <w:rFonts w:hint="eastAsia" w:ascii="仿宋_GB2312" w:hAnsi="Times New Roman" w:eastAsia="仿宋_GB2312" w:cs="DengXian-Regular"/>
          <w:sz w:val="32"/>
          <w:szCs w:val="32"/>
        </w:rPr>
        <w:t>；本年支出169.21万元，完成年初预算的101.9%,比年初预算增加3.16万元，决算数大于预算数主要原因是主要是单位新招录了六名公务员人员经费增加了。</w:t>
      </w:r>
      <w:r>
        <w:rPr>
          <w:rFonts w:hint="eastAsia" w:ascii="仿宋_GB2312" w:hAnsi="Times New Roman" w:eastAsia="仿宋_GB2312" w:cs="DengXian-Regular"/>
          <w:sz w:val="32"/>
          <w:szCs w:val="32"/>
          <w:lang w:val="en-US" w:eastAsia="zh-CN"/>
        </w:rPr>
        <w:t>具体情况如下：</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w:t>
      </w:r>
      <w:r>
        <w:rPr>
          <w:rFonts w:hint="eastAsia" w:ascii="仿宋_GB2312" w:hAnsi="Times New Roman" w:eastAsia="仿宋_GB2312" w:cs="DengXian-Regular"/>
          <w:sz w:val="32"/>
          <w:szCs w:val="32"/>
          <w:lang w:val="en-US" w:eastAsia="zh-CN"/>
        </w:rPr>
        <w:t>本年收入</w:t>
      </w:r>
      <w:r>
        <w:rPr>
          <w:rFonts w:hint="eastAsia" w:ascii="仿宋_GB2312" w:hAnsi="Times New Roman" w:eastAsia="仿宋_GB2312" w:cs="DengXian-Regular"/>
          <w:sz w:val="32"/>
          <w:szCs w:val="32"/>
        </w:rPr>
        <w:t>163.14万元，完成年初预算的98.25%,比年初预算减少2.91万元，决算数小于预算数主要原因是</w:t>
      </w:r>
      <w:r>
        <w:rPr>
          <w:rFonts w:hint="eastAsia" w:ascii="仿宋_GB2312" w:hAnsi="Times New Roman" w:eastAsia="仿宋_GB2312" w:cs="DengXian-Regular"/>
          <w:sz w:val="32"/>
          <w:szCs w:val="32"/>
          <w:lang w:val="en-US" w:eastAsia="zh-CN"/>
        </w:rPr>
        <w:t>有年初结转和结余</w:t>
      </w:r>
      <w:r>
        <w:rPr>
          <w:rFonts w:hint="eastAsia" w:ascii="仿宋_GB2312" w:hAnsi="Times New Roman" w:eastAsia="仿宋_GB2312" w:cs="DengXian-Regular"/>
          <w:sz w:val="32"/>
          <w:szCs w:val="32"/>
        </w:rPr>
        <w:t>；本年支出169.21万元，完成年初预算的101.9%,比年初预算增加3.16万元，决算数大于预算数主要原因是主要是单位新招录了六名公务员人员经费增加了。</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%，比年初预算增加0万元，主要是本年度没有政府性基金预算财政拨款本年收入；支出完成年初预算</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%，比年初预算增加0万元，主要是本年度没有政府性基金预算财政拨款支出。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%，比年初预算增加0万元，主要是本年没有国有资本经营预算财政拨款本年收入；支出完成年初预算</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万元，主要是本年没有国有资本经营预算财政拨款支出。</w:t>
      </w:r>
    </w:p>
    <w:p>
      <w:pPr>
        <w:adjustRightInd w:val="0"/>
        <w:snapToGrid w:val="0"/>
        <w:spacing w:line="580" w:lineRule="exact"/>
        <w:rPr>
          <w:rFonts w:hint="eastAsia" w:ascii="仿宋_GB2312" w:hAnsi="Times New Roman" w:eastAsia="仿宋_GB2312" w:cs="DengXian-Regular"/>
          <w:sz w:val="32"/>
          <w:szCs w:val="32"/>
        </w:rPr>
      </w:pPr>
    </w:p>
    <w:p>
      <w:pPr>
        <w:adjustRightInd w:val="0"/>
        <w:snapToGrid w:val="0"/>
        <w:spacing w:line="240" w:lineRule="auto"/>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inline distT="0" distB="0" distL="114300" distR="114300">
            <wp:extent cx="5443855" cy="2822575"/>
            <wp:effectExtent l="0" t="0" r="4445" b="15875"/>
            <wp:docPr id="14" name="图片 1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4"/>
                    <pic:cNvPicPr>
                      <a:picLocks noChangeAspect="1"/>
                    </pic:cNvPicPr>
                  </pic:nvPicPr>
                  <pic:blipFill>
                    <a:blip r:embed="rId19"/>
                    <a:stretch>
                      <a:fillRect/>
                    </a:stretch>
                  </pic:blipFill>
                  <pic:spPr>
                    <a:xfrm>
                      <a:off x="0" y="0"/>
                      <a:ext cx="5443855" cy="2822575"/>
                    </a:xfrm>
                    <a:prstGeom prst="rect">
                      <a:avLst/>
                    </a:prstGeom>
                  </pic:spPr>
                </pic:pic>
              </a:graphicData>
            </a:graphic>
          </wp:inline>
        </w:drawing>
      </w:r>
    </w:p>
    <w:p>
      <w:pPr>
        <w:adjustRightInd w:val="0"/>
        <w:snapToGrid w:val="0"/>
        <w:spacing w:line="240" w:lineRule="auto"/>
        <w:ind w:firstLine="640" w:firstLineChars="200"/>
        <w:rPr>
          <w:rFonts w:hint="eastAsia" w:ascii="仿宋_GB2312" w:hAnsi="Times New Roman" w:eastAsia="仿宋_GB2312" w:cs="DengXian-Regular"/>
          <w:sz w:val="32"/>
          <w:szCs w:val="32"/>
          <w:lang w:eastAsia="zh-CN"/>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DengXian-Regular"/>
          <w:sz w:val="32"/>
          <w:szCs w:val="32"/>
        </w:rPr>
        <w:t>2021 年度财政拨款支出169.21万元，主要用于以下方面：一般公共服务（类）支出136.29万元，占80.55%；卫生健康（类）支出6.78万元，占4%；</w:t>
      </w:r>
      <w:r>
        <w:rPr>
          <w:rFonts w:hint="eastAsia" w:ascii="仿宋_GB2312" w:hAnsi="Times New Roman" w:eastAsia="仿宋_GB2312" w:cs="Wingdings"/>
          <w:sz w:val="32"/>
          <w:szCs w:val="32"/>
        </w:rPr>
        <w:t>社会保障和就业（类）支出 16.13万元，占9.53%；住房保障（类）支出10.01万元，占 5.92%。</w:t>
      </w:r>
    </w:p>
    <w:p>
      <w:pPr>
        <w:adjustRightInd w:val="0"/>
        <w:snapToGrid w:val="0"/>
        <w:spacing w:line="240" w:lineRule="auto"/>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drawing>
          <wp:inline distT="0" distB="0" distL="114300" distR="114300">
            <wp:extent cx="5610225" cy="3136265"/>
            <wp:effectExtent l="0" t="0" r="9525" b="6985"/>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20"/>
                    <a:stretch>
                      <a:fillRect/>
                    </a:stretch>
                  </pic:blipFill>
                  <pic:spPr>
                    <a:xfrm>
                      <a:off x="0" y="0"/>
                      <a:ext cx="5610225" cy="3136265"/>
                    </a:xfrm>
                    <a:prstGeom prst="rect">
                      <a:avLst/>
                    </a:prstGeom>
                  </pic:spPr>
                </pic:pic>
              </a:graphicData>
            </a:graphic>
          </wp:inline>
        </w:drawing>
      </w:r>
    </w:p>
    <w:p>
      <w:pPr>
        <w:numPr>
          <w:ilvl w:val="0"/>
          <w:numId w:val="1"/>
        </w:numPr>
        <w:adjustRightInd w:val="0"/>
        <w:snapToGrid w:val="0"/>
        <w:spacing w:line="580" w:lineRule="exact"/>
        <w:ind w:left="420" w:leftChars="200" w:firstLine="0" w:firstLineChars="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一般公共预算基本支出决算情况说明</w:t>
      </w:r>
    </w:p>
    <w:p>
      <w:pPr>
        <w:adjustRightInd w:val="0"/>
        <w:snapToGrid w:val="0"/>
        <w:spacing w:line="580" w:lineRule="exact"/>
        <w:ind w:firstLine="800" w:firstLineChars="25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2021年度财政拨款基本支出169.21万元，其中：</w:t>
      </w:r>
    </w:p>
    <w:p>
      <w:pPr>
        <w:adjustRightInd w:val="0"/>
        <w:snapToGrid w:val="0"/>
        <w:spacing w:line="580" w:lineRule="exact"/>
        <w:ind w:firstLine="800" w:firstLineChars="25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 151.86万元，主要包括基本工资、津贴补贴、绩效工资、机关事业单位基本养老保险缴费、职业年金缴费、职工基本医疗保险缴费、住房公积金、其他社会保障缴费</w:t>
      </w:r>
      <w:r>
        <w:rPr>
          <w:rFonts w:hint="eastAsia" w:ascii="仿宋_GB2312" w:hAnsi="Times New Roman" w:eastAsia="仿宋_GB2312" w:cs="DengXian-Regular"/>
          <w:sz w:val="32"/>
          <w:szCs w:val="32"/>
          <w:lang w:eastAsia="zh-CN"/>
        </w:rPr>
        <w:t>。</w:t>
      </w:r>
    </w:p>
    <w:p>
      <w:pPr>
        <w:adjustRightInd w:val="0"/>
        <w:snapToGrid w:val="0"/>
        <w:spacing w:line="580" w:lineRule="exact"/>
        <w:ind w:firstLine="800" w:firstLineChars="250"/>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公用经费 17.35万元，主要包括办公费、印刷费、手续费、邮电费、维修（护）费、公务用车运行维护费、其他交通费用、其他商品和服务支出。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numPr>
          <w:ilvl w:val="0"/>
          <w:numId w:val="2"/>
        </w:numPr>
        <w:adjustRightInd w:val="0"/>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“三公”经费财政拨款支出决算总体情况说明</w:t>
      </w:r>
    </w:p>
    <w:p>
      <w:pPr>
        <w:adjustRightInd w:val="0"/>
        <w:snapToGrid w:val="0"/>
        <w:spacing w:line="580" w:lineRule="exact"/>
        <w:ind w:firstLine="640" w:firstLineChars="200"/>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本部门2021年度“三公”经费财政拨款支出预算为2.25万元，支出决算为2.25万元，完成预算的100%,与预算持平；较2020年度决算支出持平。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本部门2021年度因公出国（境）费支出预算为0万元，支出决算0万元，完成预算的0%。其中因公出国（境）团组0个、共0人、参加其他单位组织的因公出国（境）团组0个、共0人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无本单位组织的出国（境）团组。因公出国（境）费支出较预算增加0万元，增长0%,较上年增加0万元，增长0%。</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本部门2021年度公务用车购置及运行维护费预算为2.25万元，支出决算2.25万元，完成预算的100%。与预算持平，与2020年度决算支出持平。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本部门2021年度公务用车购置量0辆，发生“公务用车购置”经费支出0万元。公务用车购置费支出较预算增加0万元，增长0%,主要是</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；较上年增加0万元，增长0%,主要是</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公务用车运行维护费支出2.25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本部门2021年度单位公务用车保有量1辆。公车运行维护费支出与预算持平；与2020年度决算支出持平。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本部门2021年度公务接待费支出预算为0，支出决算0万元，完成预算的0%。本年度共发生公务接待0批次、0人次。公务接待费支出较预算减少0万元，降低0%,主要是</w:t>
      </w:r>
      <w:r>
        <w:rPr>
          <w:rFonts w:hint="eastAsia" w:ascii="仿宋_GB2312" w:hAnsi="Times New Roman" w:eastAsia="仿宋_GB2312" w:cs="DengXian-Regular"/>
          <w:color w:val="000000"/>
          <w:sz w:val="32"/>
          <w:szCs w:val="32"/>
        </w:rPr>
        <w:t>未发生‘公务接待费’经费支出</w:t>
      </w:r>
      <w:r>
        <w:rPr>
          <w:rFonts w:hint="eastAsia" w:ascii="仿宋_GB2312" w:hAnsi="Times New Roman" w:eastAsia="仿宋_GB2312" w:cs="DengXian-Regular"/>
          <w:sz w:val="32"/>
          <w:szCs w:val="32"/>
        </w:rPr>
        <w:t>；较上年度减少0万元，降低0%,主要是</w:t>
      </w:r>
      <w:r>
        <w:rPr>
          <w:rFonts w:hint="eastAsia" w:ascii="仿宋_GB2312" w:hAnsi="Times New Roman" w:eastAsia="仿宋_GB2312" w:cs="DengXian-Regular"/>
          <w:color w:val="000000"/>
          <w:sz w:val="32"/>
          <w:szCs w:val="32"/>
        </w:rPr>
        <w:t>未发生‘公务接待费’经费支出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Times New Roman" w:eastAsia="仿宋_GB2312" w:cs="DengXian-Regular"/>
          <w:color w:val="000000"/>
          <w:sz w:val="32"/>
          <w:szCs w:val="32"/>
        </w:rPr>
      </w:pPr>
      <w:r>
        <w:rPr>
          <w:rFonts w:hint="eastAsia" w:ascii="仿宋_GB2312" w:hAnsi="Times New Roman" w:eastAsia="仿宋_GB2312" w:cs="DengXian-Regular"/>
          <w:color w:val="000000"/>
          <w:sz w:val="32"/>
          <w:szCs w:val="32"/>
        </w:rPr>
        <w:t>根据预算绩效管理要求，本单位组织对2021年度一般公共预算项目支出全面开展了绩效自评，共涉及项目0个，资金0万元，占一般公共预算项目支出总额的0%。</w:t>
      </w:r>
    </w:p>
    <w:p>
      <w:pPr>
        <w:adjustRightInd w:val="0"/>
        <w:snapToGrid w:val="0"/>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（二）部门决算中项目绩效自评结果</w:t>
      </w:r>
    </w:p>
    <w:p>
      <w:pPr>
        <w:adjustRightInd w:val="0"/>
        <w:snapToGrid w:val="0"/>
        <w:spacing w:line="580" w:lineRule="exact"/>
        <w:ind w:firstLine="640" w:firstLineChars="200"/>
        <w:rPr>
          <w:rFonts w:hint="eastAsia" w:ascii="仿宋_GB2312" w:hAnsi="Times New Roman" w:eastAsia="仿宋_GB2312" w:cs="DengXian-Regular"/>
          <w:color w:val="000000"/>
          <w:sz w:val="32"/>
          <w:szCs w:val="32"/>
          <w:lang w:eastAsia="zh-CN"/>
        </w:rPr>
      </w:pPr>
      <w:r>
        <w:rPr>
          <w:rFonts w:hint="eastAsia" w:ascii="仿宋_GB2312" w:hAnsi="Times New Roman" w:eastAsia="仿宋_GB2312" w:cs="DengXian-Regular"/>
          <w:color w:val="000000"/>
          <w:sz w:val="32"/>
          <w:szCs w:val="32"/>
        </w:rPr>
        <w:t>本单位2021年度无项目</w:t>
      </w:r>
      <w:r>
        <w:rPr>
          <w:rFonts w:hint="eastAsia" w:ascii="仿宋_GB2312" w:hAnsi="Times New Roman" w:eastAsia="仿宋_GB2312" w:cs="DengXian-Regular"/>
          <w:color w:val="000000"/>
          <w:sz w:val="32"/>
          <w:szCs w:val="32"/>
          <w:lang w:eastAsia="zh-CN"/>
        </w:rPr>
        <w:t>。</w:t>
      </w:r>
    </w:p>
    <w:p>
      <w:pPr>
        <w:adjustRightInd w:val="0"/>
        <w:snapToGrid w:val="0"/>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财政</w:t>
      </w:r>
      <w:r>
        <w:rPr>
          <w:rFonts w:hint="eastAsia" w:ascii="仿宋_GB2312" w:hAnsi="仿宋_GB2312" w:eastAsia="仿宋_GB2312" w:cs="仿宋_GB2312"/>
          <w:b/>
          <w:bCs/>
          <w:sz w:val="32"/>
          <w:szCs w:val="32"/>
          <w:lang w:eastAsia="zh-CN"/>
        </w:rPr>
        <w:t>评价项目绩效评价结果</w:t>
      </w:r>
    </w:p>
    <w:p>
      <w:pPr>
        <w:adjustRightInd w:val="0"/>
        <w:snapToGrid w:val="0"/>
        <w:spacing w:line="580" w:lineRule="exact"/>
        <w:ind w:firstLine="640" w:firstLineChars="200"/>
        <w:rPr>
          <w:rFonts w:hint="eastAsia" w:ascii="仿宋_GB2312" w:hAnsi="Times New Roman" w:eastAsia="仿宋_GB2312" w:cs="DengXian-Regular"/>
          <w:color w:val="000000"/>
          <w:sz w:val="32"/>
          <w:szCs w:val="32"/>
          <w:lang w:eastAsia="zh-CN"/>
        </w:rPr>
      </w:pPr>
      <w:r>
        <w:rPr>
          <w:rFonts w:hint="eastAsia" w:ascii="仿宋_GB2312" w:hAnsi="Times New Roman" w:eastAsia="仿宋_GB2312" w:cs="DengXian-Regular"/>
          <w:color w:val="000000"/>
          <w:sz w:val="32"/>
          <w:szCs w:val="32"/>
        </w:rPr>
        <w:t>本单位2021年度无项目</w:t>
      </w:r>
      <w:r>
        <w:rPr>
          <w:rFonts w:hint="eastAsia" w:ascii="仿宋_GB2312" w:hAnsi="Times New Roman" w:eastAsia="仿宋_GB2312" w:cs="DengXian-Regular"/>
          <w:color w:val="000000"/>
          <w:sz w:val="32"/>
          <w:szCs w:val="32"/>
          <w:lang w:eastAsia="zh-CN"/>
        </w:rPr>
        <w:t>。</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本部门2021年度机关运行经费支出169.21万元，比2020年度增加28.59万元，增长20.33%。主要原因是单位新招录人员增加了工资福利支出，疫情防控增加了办公经费支出。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numPr>
          <w:ilvl w:val="0"/>
          <w:numId w:val="3"/>
        </w:numPr>
        <w:snapToGrid w:val="0"/>
        <w:spacing w:line="580" w:lineRule="exact"/>
        <w:ind w:firstLine="640" w:firstLineChars="200"/>
        <w:jc w:val="left"/>
        <w:rPr>
          <w:rFonts w:hint="eastAsia" w:ascii="黑体" w:hAnsi="Calibri" w:eastAsia="黑体" w:cs="Times New Roman"/>
          <w:sz w:val="32"/>
          <w:szCs w:val="32"/>
        </w:rPr>
      </w:pPr>
      <w:r>
        <w:rPr>
          <w:rFonts w:hint="eastAsia" w:ascii="黑体" w:hAnsi="Calibri" w:eastAsia="黑体" w:cs="Times New Roman"/>
          <w:sz w:val="32"/>
          <w:szCs w:val="32"/>
        </w:rPr>
        <w:t>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DengXian-Regular"/>
          <w:sz w:val="32"/>
          <w:szCs w:val="32"/>
        </w:rPr>
        <w:t>截至2021年12月31日，本部门共有车辆1辆，比上年减少1辆，主要是其中一台车辆老旧无法满足办公出行需求，</w:t>
      </w:r>
      <w:r>
        <w:rPr>
          <w:rFonts w:hint="eastAsia" w:ascii="仿宋_GB2312" w:hAnsi="Times New Roman" w:eastAsia="仿宋_GB2312" w:cs="DengXian-Regular"/>
          <w:sz w:val="32"/>
          <w:szCs w:val="32"/>
          <w:lang w:val="en-US" w:eastAsia="zh-CN"/>
        </w:rPr>
        <w:t>所以做报废处置</w:t>
      </w:r>
      <w:r>
        <w:rPr>
          <w:rFonts w:hint="eastAsia" w:ascii="仿宋_GB2312" w:hAnsi="Times New Roman" w:eastAsia="仿宋_GB2312" w:cs="DengXian-Regular"/>
          <w:sz w:val="32"/>
          <w:szCs w:val="32"/>
        </w:rPr>
        <w:t>。其中，副部（省）级及以上领导用车0辆，主要领导干部用车0辆，机要通信用车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辆，应急保障用车0辆，执法执勤用车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辆，特种专业技术用车0辆，离退休干部用车0辆，其他用车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hAnsi="仿宋_GB2312" w:eastAsia="仿宋_GB2312" w:cs="仿宋_GB2312"/>
          <w:sz w:val="32"/>
          <w:szCs w:val="32"/>
        </w:rPr>
        <w:t>无价值50万元以上通用设备</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hAnsi="仿宋_GB2312" w:eastAsia="仿宋_GB2312" w:cs="仿宋_GB2312"/>
          <w:sz w:val="32"/>
          <w:szCs w:val="32"/>
        </w:rPr>
        <w:t>无价值100万元以上专用设备。</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  本部门2021年度政府性基金预算财政拨款、国有资本经营预算财政拨款无收支及结转结余，故政府性基金预算财政拨款、国有资本经营预算财政拨款以空表列示。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1"/>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hint="eastAsia" w:ascii="仿宋_GB2312" w:hAnsi="Cambria" w:eastAsia="仿宋_GB2312" w:cs="ArialUnicodeMS"/>
          <w:kern w:val="0"/>
          <w:sz w:val="32"/>
          <w:szCs w:val="32"/>
          <w:lang w:eastAsia="zh-CN"/>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r>
        <w:rPr>
          <w:rFonts w:hint="eastAsia" w:ascii="仿宋_GB2312" w:hAnsi="Cambria" w:eastAsia="仿宋_GB2312" w:cs="ArialUnicodeMS"/>
          <w:kern w:val="0"/>
          <w:sz w:val="32"/>
          <w:szCs w:val="32"/>
          <w:lang w:eastAsia="zh-CN"/>
        </w:rPr>
        <w:t>。</w:t>
      </w:r>
      <w:bookmarkStart w:id="0" w:name="_GoBack"/>
      <w:bookmarkEnd w:id="0"/>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9B75E"/>
    <w:multiLevelType w:val="singleLevel"/>
    <w:tmpl w:val="B6C9B75E"/>
    <w:lvl w:ilvl="0" w:tentative="0">
      <w:start w:val="1"/>
      <w:numFmt w:val="chineseCounting"/>
      <w:suff w:val="nothing"/>
      <w:lvlText w:val="（%1）"/>
      <w:lvlJc w:val="left"/>
      <w:rPr>
        <w:rFonts w:hint="eastAsia"/>
      </w:rPr>
    </w:lvl>
  </w:abstractNum>
  <w:abstractNum w:abstractNumId="1">
    <w:nsid w:val="C4A5990B"/>
    <w:multiLevelType w:val="singleLevel"/>
    <w:tmpl w:val="C4A5990B"/>
    <w:lvl w:ilvl="0" w:tentative="0">
      <w:start w:val="9"/>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EzLCJoZGlkIjoiMjNhZmQ1MWE0ZDUyOTA2ZWIxNGNhM2ZjZWZiODkwMTEiLCJ1c2VyQ291bnQiOjEyfQ=="/>
  </w:docVars>
  <w:rsids>
    <w:rsidRoot w:val="00172A27"/>
    <w:rsid w:val="000031F7"/>
    <w:rsid w:val="00014862"/>
    <w:rsid w:val="00084453"/>
    <w:rsid w:val="00172A27"/>
    <w:rsid w:val="004550B9"/>
    <w:rsid w:val="0051575E"/>
    <w:rsid w:val="005B2633"/>
    <w:rsid w:val="0064156F"/>
    <w:rsid w:val="00663586"/>
    <w:rsid w:val="007B4464"/>
    <w:rsid w:val="007E5B91"/>
    <w:rsid w:val="00896712"/>
    <w:rsid w:val="008E5668"/>
    <w:rsid w:val="009718A8"/>
    <w:rsid w:val="00A66109"/>
    <w:rsid w:val="00B86E38"/>
    <w:rsid w:val="00C21492"/>
    <w:rsid w:val="00C418F5"/>
    <w:rsid w:val="00CE4C2D"/>
    <w:rsid w:val="00CE755E"/>
    <w:rsid w:val="00D264B9"/>
    <w:rsid w:val="00DA0B17"/>
    <w:rsid w:val="00DF42C4"/>
    <w:rsid w:val="00DF688D"/>
    <w:rsid w:val="00E669B9"/>
    <w:rsid w:val="00E86E79"/>
    <w:rsid w:val="00FC3F68"/>
    <w:rsid w:val="018E53BB"/>
    <w:rsid w:val="01B752BF"/>
    <w:rsid w:val="02CC3230"/>
    <w:rsid w:val="02F2691F"/>
    <w:rsid w:val="034F3B8B"/>
    <w:rsid w:val="042969E4"/>
    <w:rsid w:val="05273E55"/>
    <w:rsid w:val="05E27A84"/>
    <w:rsid w:val="06EB1AB6"/>
    <w:rsid w:val="09986D14"/>
    <w:rsid w:val="099D6B31"/>
    <w:rsid w:val="09FD66D9"/>
    <w:rsid w:val="0BCF674C"/>
    <w:rsid w:val="0C745D23"/>
    <w:rsid w:val="0ED713A0"/>
    <w:rsid w:val="0F547FC5"/>
    <w:rsid w:val="10B242CF"/>
    <w:rsid w:val="11B30DB7"/>
    <w:rsid w:val="11F4604E"/>
    <w:rsid w:val="136D16FB"/>
    <w:rsid w:val="13AA21BF"/>
    <w:rsid w:val="13D2266B"/>
    <w:rsid w:val="15F51FF1"/>
    <w:rsid w:val="1991739F"/>
    <w:rsid w:val="19F53DD2"/>
    <w:rsid w:val="1A3D2C72"/>
    <w:rsid w:val="1C2A6F0D"/>
    <w:rsid w:val="1C9F6575"/>
    <w:rsid w:val="1CFD4D84"/>
    <w:rsid w:val="1D917912"/>
    <w:rsid w:val="1E674958"/>
    <w:rsid w:val="1F7715C8"/>
    <w:rsid w:val="202D7AAF"/>
    <w:rsid w:val="211C3310"/>
    <w:rsid w:val="216937C4"/>
    <w:rsid w:val="27BD198F"/>
    <w:rsid w:val="283D6665"/>
    <w:rsid w:val="298605CB"/>
    <w:rsid w:val="29883D69"/>
    <w:rsid w:val="299D58EC"/>
    <w:rsid w:val="29BD0928"/>
    <w:rsid w:val="2A6B6A5F"/>
    <w:rsid w:val="2AEB7D2F"/>
    <w:rsid w:val="2B4F2926"/>
    <w:rsid w:val="2CEF036C"/>
    <w:rsid w:val="2D626265"/>
    <w:rsid w:val="2D86485F"/>
    <w:rsid w:val="2EF9652D"/>
    <w:rsid w:val="2F01703A"/>
    <w:rsid w:val="2FB612A4"/>
    <w:rsid w:val="314F1BC2"/>
    <w:rsid w:val="323F1C36"/>
    <w:rsid w:val="32A31C4C"/>
    <w:rsid w:val="32B53CA7"/>
    <w:rsid w:val="33CD2241"/>
    <w:rsid w:val="34967CFD"/>
    <w:rsid w:val="355D7667"/>
    <w:rsid w:val="35A3428A"/>
    <w:rsid w:val="375C6D13"/>
    <w:rsid w:val="38483D28"/>
    <w:rsid w:val="39C2416B"/>
    <w:rsid w:val="3B744E3E"/>
    <w:rsid w:val="3D9D1DC6"/>
    <w:rsid w:val="3DC91A1B"/>
    <w:rsid w:val="3F235BB1"/>
    <w:rsid w:val="3F663581"/>
    <w:rsid w:val="40E87DB1"/>
    <w:rsid w:val="41AF416B"/>
    <w:rsid w:val="42A44BF6"/>
    <w:rsid w:val="4571549B"/>
    <w:rsid w:val="45E912FB"/>
    <w:rsid w:val="471274FD"/>
    <w:rsid w:val="48ED0065"/>
    <w:rsid w:val="49717ADD"/>
    <w:rsid w:val="4A51609B"/>
    <w:rsid w:val="4C194D3B"/>
    <w:rsid w:val="4D304C6C"/>
    <w:rsid w:val="4D844549"/>
    <w:rsid w:val="4DB61552"/>
    <w:rsid w:val="4EC11A31"/>
    <w:rsid w:val="4F2A6A41"/>
    <w:rsid w:val="4F51715C"/>
    <w:rsid w:val="4FC92795"/>
    <w:rsid w:val="4FDA48F5"/>
    <w:rsid w:val="500373A2"/>
    <w:rsid w:val="531D5224"/>
    <w:rsid w:val="533E2B0B"/>
    <w:rsid w:val="53672943"/>
    <w:rsid w:val="53AD746D"/>
    <w:rsid w:val="54B43966"/>
    <w:rsid w:val="561769D4"/>
    <w:rsid w:val="562E36FF"/>
    <w:rsid w:val="5690799B"/>
    <w:rsid w:val="570C445A"/>
    <w:rsid w:val="57FA14FC"/>
    <w:rsid w:val="58214F74"/>
    <w:rsid w:val="58D844B0"/>
    <w:rsid w:val="5A2F3CAC"/>
    <w:rsid w:val="5AD476CB"/>
    <w:rsid w:val="5C811C57"/>
    <w:rsid w:val="5E483371"/>
    <w:rsid w:val="5F4A1A8C"/>
    <w:rsid w:val="5FDB08B7"/>
    <w:rsid w:val="60075621"/>
    <w:rsid w:val="602001C2"/>
    <w:rsid w:val="60CE32E1"/>
    <w:rsid w:val="61D67EC2"/>
    <w:rsid w:val="61D71CE9"/>
    <w:rsid w:val="63E57183"/>
    <w:rsid w:val="642A2B3D"/>
    <w:rsid w:val="64C00985"/>
    <w:rsid w:val="64CD4B95"/>
    <w:rsid w:val="64D30567"/>
    <w:rsid w:val="65225D26"/>
    <w:rsid w:val="65DB5CBA"/>
    <w:rsid w:val="674E6C15"/>
    <w:rsid w:val="67636EEB"/>
    <w:rsid w:val="697609B2"/>
    <w:rsid w:val="69F4671F"/>
    <w:rsid w:val="6CBF282C"/>
    <w:rsid w:val="6D900E47"/>
    <w:rsid w:val="6DA7259F"/>
    <w:rsid w:val="6EDE393D"/>
    <w:rsid w:val="70AE77CA"/>
    <w:rsid w:val="73335BEE"/>
    <w:rsid w:val="734B3BFA"/>
    <w:rsid w:val="73753308"/>
    <w:rsid w:val="73A16A32"/>
    <w:rsid w:val="761431CC"/>
    <w:rsid w:val="763444AF"/>
    <w:rsid w:val="76405FD0"/>
    <w:rsid w:val="777E6F32"/>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8979</Words>
  <Characters>10383</Characters>
  <Lines>82</Lines>
  <Paragraphs>23</Paragraphs>
  <TotalTime>2</TotalTime>
  <ScaleCrop>false</ScaleCrop>
  <LinksUpToDate>false</LinksUpToDate>
  <CharactersWithSpaces>10620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甜烧饼</cp:lastModifiedBy>
  <dcterms:modified xsi:type="dcterms:W3CDTF">2023-09-07T07:36:42Z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TemplateUUID">
    <vt:lpwstr>v1.0_mb_S7ajbG3IpAnL1wSthNCxfw==</vt:lpwstr>
  </property>
  <property fmtid="{D5CDD505-2E9C-101B-9397-08002B2CF9AE}" pid="4" name="ICV">
    <vt:lpwstr>1515CEFC20754C3380B382230295B456</vt:lpwstr>
  </property>
</Properties>
</file>