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DA" w:rsidRPr="00802B6A" w:rsidRDefault="00C14ADA" w:rsidP="00587FFA">
      <w:pPr>
        <w:adjustRightInd w:val="0"/>
        <w:snapToGrid w:val="0"/>
        <w:jc w:val="center"/>
        <w:rPr>
          <w:rFonts w:ascii="仿宋_GB2312" w:eastAsia="仿宋_GB2312" w:hAnsi="华文中宋"/>
          <w:sz w:val="44"/>
          <w:szCs w:val="44"/>
        </w:rPr>
      </w:pPr>
      <w:r w:rsidRPr="00802B6A">
        <w:rPr>
          <w:rFonts w:ascii="仿宋_GB2312" w:eastAsia="仿宋_GB2312" w:hAnsi="华文中宋" w:cs="仿宋_GB2312" w:hint="eastAsia"/>
          <w:sz w:val="44"/>
          <w:szCs w:val="44"/>
        </w:rPr>
        <w:t>事业单位年度报告公开表</w:t>
      </w:r>
    </w:p>
    <w:p w:rsidR="00C14ADA" w:rsidRPr="00802B6A" w:rsidRDefault="00C14ADA" w:rsidP="00587FFA">
      <w:pPr>
        <w:adjustRightInd w:val="0"/>
        <w:snapToGrid w:val="0"/>
        <w:rPr>
          <w:rFonts w:ascii="仿宋_GB2312" w:eastAsia="仿宋_GB2312" w:hAnsi="楷体"/>
          <w:sz w:val="30"/>
          <w:szCs w:val="30"/>
        </w:rPr>
      </w:pPr>
    </w:p>
    <w:p w:rsidR="00C14ADA" w:rsidRPr="00802B6A" w:rsidRDefault="00C14ADA" w:rsidP="00587FFA">
      <w:pPr>
        <w:adjustRightInd w:val="0"/>
        <w:snapToGrid w:val="0"/>
        <w:rPr>
          <w:rFonts w:ascii="仿宋_GB2312" w:eastAsia="仿宋_GB2312" w:hAnsi="楷体"/>
          <w:sz w:val="30"/>
          <w:szCs w:val="30"/>
        </w:rPr>
      </w:pPr>
      <w:r w:rsidRPr="00802B6A">
        <w:rPr>
          <w:rFonts w:ascii="仿宋_GB2312" w:eastAsia="仿宋_GB2312" w:hAnsi="楷体" w:cs="仿宋_GB2312"/>
          <w:sz w:val="30"/>
          <w:szCs w:val="30"/>
        </w:rPr>
        <w:t xml:space="preserve">    </w:t>
      </w:r>
      <w:r w:rsidRPr="00802B6A">
        <w:rPr>
          <w:rFonts w:ascii="仿宋_GB2312" w:eastAsia="仿宋_GB2312" w:hAnsi="楷体" w:cs="仿宋_GB2312" w:hint="eastAsia"/>
          <w:sz w:val="30"/>
          <w:szCs w:val="30"/>
        </w:rPr>
        <w:t>填报单位：河北省医用药品器械集中采购中心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1"/>
        <w:gridCol w:w="1786"/>
        <w:gridCol w:w="5924"/>
      </w:tblGrid>
      <w:tr w:rsidR="00C14ADA" w:rsidRPr="00802B6A">
        <w:trPr>
          <w:trHeight w:val="737"/>
          <w:jc w:val="center"/>
        </w:trPr>
        <w:tc>
          <w:tcPr>
            <w:tcW w:w="1831" w:type="dxa"/>
            <w:vMerge w:val="restart"/>
            <w:tcBorders>
              <w:top w:val="single" w:sz="12" w:space="0" w:color="auto"/>
              <w:left w:val="single" w:sz="12" w:space="0" w:color="auto"/>
              <w:bottom w:val="single" w:sz="8" w:space="0" w:color="auto"/>
            </w:tcBorders>
            <w:vAlign w:val="center"/>
          </w:tcPr>
          <w:p w:rsidR="00C14ADA" w:rsidRPr="00802B6A" w:rsidRDefault="00C14ADA" w:rsidP="00A62E3B">
            <w:pPr>
              <w:rPr>
                <w:rFonts w:ascii="仿宋_GB2312" w:eastAsia="仿宋_GB2312" w:hAnsi="楷体"/>
                <w:sz w:val="30"/>
                <w:szCs w:val="30"/>
              </w:rPr>
            </w:pPr>
            <w:r w:rsidRPr="00802B6A">
              <w:rPr>
                <w:rFonts w:ascii="仿宋_GB2312" w:eastAsia="仿宋_GB2312" w:hAnsi="楷体" w:cs="仿宋_GB2312" w:hint="eastAsia"/>
                <w:sz w:val="30"/>
                <w:szCs w:val="30"/>
              </w:rPr>
              <w:t>《事业单位法人证书》</w:t>
            </w:r>
          </w:p>
          <w:p w:rsidR="00C14ADA" w:rsidRPr="00802B6A" w:rsidRDefault="00C14ADA" w:rsidP="00A62E3B">
            <w:pPr>
              <w:rPr>
                <w:rFonts w:ascii="仿宋_GB2312" w:eastAsia="仿宋_GB2312" w:hAnsi="楷体"/>
                <w:sz w:val="30"/>
                <w:szCs w:val="30"/>
              </w:rPr>
            </w:pPr>
            <w:r w:rsidRPr="00802B6A">
              <w:rPr>
                <w:rFonts w:ascii="仿宋_GB2312" w:eastAsia="仿宋_GB2312" w:hAnsi="楷体" w:cs="仿宋_GB2312" w:hint="eastAsia"/>
                <w:sz w:val="30"/>
                <w:szCs w:val="30"/>
              </w:rPr>
              <w:t>登载事项</w:t>
            </w:r>
          </w:p>
        </w:tc>
        <w:tc>
          <w:tcPr>
            <w:tcW w:w="1786" w:type="dxa"/>
            <w:tcBorders>
              <w:top w:val="single" w:sz="12" w:space="0" w:color="auto"/>
            </w:tcBorders>
            <w:vAlign w:val="center"/>
          </w:tcPr>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单位名称</w:t>
            </w:r>
          </w:p>
        </w:tc>
        <w:tc>
          <w:tcPr>
            <w:tcW w:w="5924" w:type="dxa"/>
            <w:tcBorders>
              <w:top w:val="single" w:sz="12" w:space="0" w:color="auto"/>
              <w:right w:val="single" w:sz="12" w:space="0" w:color="auto"/>
            </w:tcBorders>
            <w:vAlign w:val="center"/>
          </w:tcPr>
          <w:p w:rsidR="00C14ADA" w:rsidRPr="00802B6A" w:rsidRDefault="00C14ADA" w:rsidP="00A62E3B">
            <w:pPr>
              <w:jc w:val="left"/>
              <w:rPr>
                <w:rFonts w:ascii="仿宋_GB2312" w:eastAsia="仿宋_GB2312" w:hAnsi="楷体"/>
                <w:sz w:val="30"/>
                <w:szCs w:val="30"/>
              </w:rPr>
            </w:pPr>
            <w:r w:rsidRPr="00802B6A">
              <w:rPr>
                <w:rFonts w:ascii="仿宋_GB2312" w:eastAsia="仿宋_GB2312" w:hAnsi="楷体" w:cs="仿宋_GB2312" w:hint="eastAsia"/>
                <w:sz w:val="30"/>
                <w:szCs w:val="30"/>
              </w:rPr>
              <w:t>河北省医用药品器械集中采购中心</w:t>
            </w:r>
          </w:p>
        </w:tc>
      </w:tr>
      <w:tr w:rsidR="00C14ADA" w:rsidRPr="00802B6A">
        <w:trPr>
          <w:trHeight w:val="2918"/>
          <w:jc w:val="center"/>
        </w:trPr>
        <w:tc>
          <w:tcPr>
            <w:tcW w:w="1831" w:type="dxa"/>
            <w:vMerge/>
            <w:tcBorders>
              <w:top w:val="single" w:sz="12" w:space="0" w:color="auto"/>
              <w:left w:val="single" w:sz="12" w:space="0" w:color="auto"/>
              <w:bottom w:val="single" w:sz="8" w:space="0" w:color="auto"/>
            </w:tcBorders>
            <w:vAlign w:val="center"/>
          </w:tcPr>
          <w:p w:rsidR="00C14ADA" w:rsidRPr="00802B6A" w:rsidRDefault="00C14ADA" w:rsidP="00A62E3B">
            <w:pPr>
              <w:widowControl/>
              <w:jc w:val="left"/>
              <w:rPr>
                <w:rFonts w:ascii="仿宋_GB2312" w:eastAsia="仿宋_GB2312" w:hAnsi="楷体"/>
                <w:sz w:val="30"/>
                <w:szCs w:val="30"/>
              </w:rPr>
            </w:pPr>
          </w:p>
        </w:tc>
        <w:tc>
          <w:tcPr>
            <w:tcW w:w="1786" w:type="dxa"/>
            <w:vAlign w:val="center"/>
          </w:tcPr>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宗旨和</w:t>
            </w:r>
          </w:p>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业务范围</w:t>
            </w:r>
          </w:p>
        </w:tc>
        <w:tc>
          <w:tcPr>
            <w:tcW w:w="5924" w:type="dxa"/>
            <w:tcBorders>
              <w:right w:val="single" w:sz="12" w:space="0" w:color="auto"/>
            </w:tcBorders>
            <w:vAlign w:val="center"/>
          </w:tcPr>
          <w:p w:rsidR="00C14ADA" w:rsidRPr="00802B6A" w:rsidRDefault="00C14ADA" w:rsidP="00C14ADA">
            <w:pPr>
              <w:spacing w:line="440" w:lineRule="exact"/>
              <w:ind w:firstLineChars="200" w:firstLine="31680"/>
              <w:jc w:val="left"/>
              <w:rPr>
                <w:rFonts w:ascii="仿宋_GB2312" w:eastAsia="仿宋_GB2312" w:hAnsi="楷体"/>
                <w:sz w:val="30"/>
                <w:szCs w:val="30"/>
              </w:rPr>
            </w:pPr>
            <w:r w:rsidRPr="00802B6A">
              <w:rPr>
                <w:rFonts w:ascii="仿宋_GB2312" w:eastAsia="仿宋_GB2312" w:hAnsi="楷体" w:cs="仿宋_GB2312" w:hint="eastAsia"/>
                <w:sz w:val="30"/>
                <w:szCs w:val="30"/>
              </w:rPr>
              <w:t>开展医用药品器械集中采购，促进医疗卫生事业发展。在省卫生行政部门管理下，负责建立全省药品和高值医用耗材、省级管理的乙类大型医用设备的集中招标采购网路平台，并具体实施全省药品和高值医用耗材、省级管理乙类大型医用设备的集中招标采购。</w:t>
            </w:r>
          </w:p>
        </w:tc>
      </w:tr>
      <w:tr w:rsidR="00C14ADA" w:rsidRPr="00802B6A">
        <w:trPr>
          <w:trHeight w:val="520"/>
          <w:jc w:val="center"/>
        </w:trPr>
        <w:tc>
          <w:tcPr>
            <w:tcW w:w="1831" w:type="dxa"/>
            <w:vMerge/>
            <w:tcBorders>
              <w:top w:val="single" w:sz="12" w:space="0" w:color="auto"/>
              <w:left w:val="single" w:sz="12" w:space="0" w:color="auto"/>
              <w:bottom w:val="single" w:sz="8" w:space="0" w:color="auto"/>
            </w:tcBorders>
            <w:vAlign w:val="center"/>
          </w:tcPr>
          <w:p w:rsidR="00C14ADA" w:rsidRPr="00802B6A" w:rsidRDefault="00C14ADA" w:rsidP="00A62E3B">
            <w:pPr>
              <w:widowControl/>
              <w:jc w:val="left"/>
              <w:rPr>
                <w:rFonts w:ascii="仿宋_GB2312" w:eastAsia="仿宋_GB2312" w:hAnsi="楷体"/>
                <w:sz w:val="30"/>
                <w:szCs w:val="30"/>
              </w:rPr>
            </w:pPr>
          </w:p>
        </w:tc>
        <w:tc>
          <w:tcPr>
            <w:tcW w:w="1786" w:type="dxa"/>
            <w:vAlign w:val="center"/>
          </w:tcPr>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住</w:t>
            </w:r>
            <w:r w:rsidRPr="00802B6A">
              <w:rPr>
                <w:rFonts w:ascii="仿宋_GB2312" w:eastAsia="仿宋_GB2312" w:hAnsi="楷体" w:cs="仿宋_GB2312"/>
                <w:sz w:val="30"/>
                <w:szCs w:val="30"/>
              </w:rPr>
              <w:t xml:space="preserve">    </w:t>
            </w:r>
            <w:r w:rsidRPr="00802B6A">
              <w:rPr>
                <w:rFonts w:ascii="仿宋_GB2312" w:eastAsia="仿宋_GB2312" w:hAnsi="楷体" w:cs="仿宋_GB2312" w:hint="eastAsia"/>
                <w:sz w:val="30"/>
                <w:szCs w:val="30"/>
              </w:rPr>
              <w:t>所</w:t>
            </w:r>
          </w:p>
        </w:tc>
        <w:tc>
          <w:tcPr>
            <w:tcW w:w="5924" w:type="dxa"/>
            <w:tcBorders>
              <w:right w:val="single" w:sz="12" w:space="0" w:color="auto"/>
            </w:tcBorders>
            <w:vAlign w:val="center"/>
          </w:tcPr>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河北省石家庄市合作路</w:t>
            </w:r>
            <w:r w:rsidRPr="00802B6A">
              <w:rPr>
                <w:rFonts w:ascii="仿宋_GB2312" w:eastAsia="仿宋_GB2312" w:hAnsi="楷体" w:cs="仿宋_GB2312"/>
                <w:sz w:val="30"/>
                <w:szCs w:val="30"/>
              </w:rPr>
              <w:t>42</w:t>
            </w:r>
            <w:r w:rsidRPr="00802B6A">
              <w:rPr>
                <w:rFonts w:ascii="仿宋_GB2312" w:eastAsia="仿宋_GB2312" w:hAnsi="楷体" w:cs="仿宋_GB2312" w:hint="eastAsia"/>
                <w:sz w:val="30"/>
                <w:szCs w:val="30"/>
              </w:rPr>
              <w:t>号</w:t>
            </w:r>
          </w:p>
        </w:tc>
      </w:tr>
      <w:tr w:rsidR="00C14ADA" w:rsidRPr="00802B6A">
        <w:trPr>
          <w:trHeight w:val="732"/>
          <w:jc w:val="center"/>
        </w:trPr>
        <w:tc>
          <w:tcPr>
            <w:tcW w:w="1831" w:type="dxa"/>
            <w:vMerge/>
            <w:tcBorders>
              <w:top w:val="single" w:sz="12" w:space="0" w:color="auto"/>
              <w:left w:val="single" w:sz="12" w:space="0" w:color="auto"/>
              <w:bottom w:val="single" w:sz="8" w:space="0" w:color="auto"/>
            </w:tcBorders>
            <w:vAlign w:val="center"/>
          </w:tcPr>
          <w:p w:rsidR="00C14ADA" w:rsidRPr="00802B6A" w:rsidRDefault="00C14ADA" w:rsidP="00A62E3B">
            <w:pPr>
              <w:widowControl/>
              <w:jc w:val="left"/>
              <w:rPr>
                <w:rFonts w:ascii="仿宋_GB2312" w:eastAsia="仿宋_GB2312" w:hAnsi="楷体"/>
                <w:sz w:val="30"/>
                <w:szCs w:val="30"/>
              </w:rPr>
            </w:pPr>
          </w:p>
        </w:tc>
        <w:tc>
          <w:tcPr>
            <w:tcW w:w="1786" w:type="dxa"/>
            <w:vAlign w:val="center"/>
          </w:tcPr>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法定代表人</w:t>
            </w:r>
          </w:p>
        </w:tc>
        <w:tc>
          <w:tcPr>
            <w:tcW w:w="5924" w:type="dxa"/>
            <w:tcBorders>
              <w:right w:val="single" w:sz="12" w:space="0" w:color="auto"/>
            </w:tcBorders>
            <w:vAlign w:val="center"/>
          </w:tcPr>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王新立</w:t>
            </w:r>
          </w:p>
        </w:tc>
      </w:tr>
      <w:tr w:rsidR="00C14ADA" w:rsidRPr="00802B6A">
        <w:trPr>
          <w:trHeight w:val="642"/>
          <w:jc w:val="center"/>
        </w:trPr>
        <w:tc>
          <w:tcPr>
            <w:tcW w:w="1831" w:type="dxa"/>
            <w:vMerge/>
            <w:tcBorders>
              <w:top w:val="single" w:sz="12" w:space="0" w:color="auto"/>
              <w:left w:val="single" w:sz="12" w:space="0" w:color="auto"/>
              <w:bottom w:val="single" w:sz="8" w:space="0" w:color="auto"/>
            </w:tcBorders>
            <w:vAlign w:val="center"/>
          </w:tcPr>
          <w:p w:rsidR="00C14ADA" w:rsidRPr="00802B6A" w:rsidRDefault="00C14ADA" w:rsidP="00A62E3B">
            <w:pPr>
              <w:widowControl/>
              <w:jc w:val="left"/>
              <w:rPr>
                <w:rFonts w:ascii="仿宋_GB2312" w:eastAsia="仿宋_GB2312" w:hAnsi="楷体"/>
                <w:sz w:val="30"/>
                <w:szCs w:val="30"/>
              </w:rPr>
            </w:pPr>
          </w:p>
        </w:tc>
        <w:tc>
          <w:tcPr>
            <w:tcW w:w="1786" w:type="dxa"/>
            <w:vAlign w:val="center"/>
          </w:tcPr>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开办资金</w:t>
            </w:r>
          </w:p>
        </w:tc>
        <w:tc>
          <w:tcPr>
            <w:tcW w:w="5924" w:type="dxa"/>
            <w:tcBorders>
              <w:right w:val="single" w:sz="12" w:space="0" w:color="auto"/>
            </w:tcBorders>
            <w:vAlign w:val="center"/>
          </w:tcPr>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sz w:val="30"/>
                <w:szCs w:val="30"/>
              </w:rPr>
              <w:t>208</w:t>
            </w:r>
            <w:r w:rsidRPr="00802B6A">
              <w:rPr>
                <w:rFonts w:ascii="仿宋_GB2312" w:eastAsia="仿宋_GB2312" w:hAnsi="楷体" w:cs="仿宋_GB2312" w:hint="eastAsia"/>
                <w:sz w:val="30"/>
                <w:szCs w:val="30"/>
              </w:rPr>
              <w:t>万元</w:t>
            </w:r>
          </w:p>
        </w:tc>
      </w:tr>
      <w:tr w:rsidR="00C14ADA" w:rsidRPr="00802B6A">
        <w:trPr>
          <w:trHeight w:val="642"/>
          <w:jc w:val="center"/>
        </w:trPr>
        <w:tc>
          <w:tcPr>
            <w:tcW w:w="1831" w:type="dxa"/>
            <w:vMerge/>
            <w:tcBorders>
              <w:top w:val="single" w:sz="12" w:space="0" w:color="auto"/>
              <w:left w:val="single" w:sz="12" w:space="0" w:color="auto"/>
              <w:bottom w:val="single" w:sz="8" w:space="0" w:color="auto"/>
            </w:tcBorders>
            <w:vAlign w:val="center"/>
          </w:tcPr>
          <w:p w:rsidR="00C14ADA" w:rsidRPr="00802B6A" w:rsidRDefault="00C14ADA" w:rsidP="00A62E3B">
            <w:pPr>
              <w:widowControl/>
              <w:jc w:val="left"/>
              <w:rPr>
                <w:rFonts w:ascii="仿宋_GB2312" w:eastAsia="仿宋_GB2312" w:hAnsi="楷体"/>
                <w:sz w:val="30"/>
                <w:szCs w:val="30"/>
              </w:rPr>
            </w:pPr>
          </w:p>
        </w:tc>
        <w:tc>
          <w:tcPr>
            <w:tcW w:w="1786" w:type="dxa"/>
            <w:vAlign w:val="center"/>
          </w:tcPr>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经费来源</w:t>
            </w:r>
          </w:p>
        </w:tc>
        <w:tc>
          <w:tcPr>
            <w:tcW w:w="5924" w:type="dxa"/>
            <w:tcBorders>
              <w:right w:val="single" w:sz="12" w:space="0" w:color="auto"/>
            </w:tcBorders>
            <w:vAlign w:val="center"/>
          </w:tcPr>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财政补助</w:t>
            </w:r>
          </w:p>
        </w:tc>
      </w:tr>
      <w:tr w:rsidR="00C14ADA" w:rsidRPr="00802B6A">
        <w:trPr>
          <w:trHeight w:val="737"/>
          <w:jc w:val="center"/>
        </w:trPr>
        <w:tc>
          <w:tcPr>
            <w:tcW w:w="1831" w:type="dxa"/>
            <w:vMerge/>
            <w:tcBorders>
              <w:top w:val="single" w:sz="12" w:space="0" w:color="auto"/>
              <w:left w:val="single" w:sz="12" w:space="0" w:color="auto"/>
              <w:bottom w:val="single" w:sz="8" w:space="0" w:color="auto"/>
            </w:tcBorders>
            <w:vAlign w:val="center"/>
          </w:tcPr>
          <w:p w:rsidR="00C14ADA" w:rsidRPr="00802B6A" w:rsidRDefault="00C14ADA" w:rsidP="00A62E3B">
            <w:pPr>
              <w:widowControl/>
              <w:jc w:val="left"/>
              <w:rPr>
                <w:rFonts w:ascii="仿宋_GB2312" w:eastAsia="仿宋_GB2312" w:hAnsi="楷体"/>
                <w:sz w:val="30"/>
                <w:szCs w:val="30"/>
              </w:rPr>
            </w:pPr>
          </w:p>
        </w:tc>
        <w:tc>
          <w:tcPr>
            <w:tcW w:w="1786" w:type="dxa"/>
            <w:tcBorders>
              <w:bottom w:val="single" w:sz="8" w:space="0" w:color="auto"/>
            </w:tcBorders>
            <w:vAlign w:val="center"/>
          </w:tcPr>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举办单位</w:t>
            </w:r>
          </w:p>
        </w:tc>
        <w:tc>
          <w:tcPr>
            <w:tcW w:w="5924" w:type="dxa"/>
            <w:tcBorders>
              <w:bottom w:val="single" w:sz="8" w:space="0" w:color="auto"/>
              <w:right w:val="single" w:sz="12" w:space="0" w:color="auto"/>
            </w:tcBorders>
            <w:vAlign w:val="center"/>
          </w:tcPr>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河北省卫生和计划生育委员会</w:t>
            </w:r>
          </w:p>
        </w:tc>
      </w:tr>
      <w:tr w:rsidR="00C14ADA" w:rsidRPr="00802B6A">
        <w:trPr>
          <w:trHeight w:val="5207"/>
          <w:jc w:val="center"/>
        </w:trPr>
        <w:tc>
          <w:tcPr>
            <w:tcW w:w="1831" w:type="dxa"/>
            <w:tcBorders>
              <w:top w:val="single" w:sz="12" w:space="0" w:color="auto"/>
              <w:left w:val="single" w:sz="12" w:space="0" w:color="auto"/>
            </w:tcBorders>
            <w:vAlign w:val="center"/>
          </w:tcPr>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开</w:t>
            </w:r>
          </w:p>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展</w:t>
            </w:r>
          </w:p>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业</w:t>
            </w:r>
          </w:p>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务</w:t>
            </w:r>
          </w:p>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活</w:t>
            </w:r>
          </w:p>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动</w:t>
            </w:r>
          </w:p>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情</w:t>
            </w:r>
          </w:p>
          <w:p w:rsidR="00C14ADA" w:rsidRPr="00802B6A" w:rsidRDefault="00C14ADA" w:rsidP="00A62E3B">
            <w:pPr>
              <w:jc w:val="center"/>
              <w:rPr>
                <w:rFonts w:ascii="仿宋_GB2312" w:eastAsia="仿宋_GB2312" w:hAnsi="楷体"/>
                <w:sz w:val="30"/>
                <w:szCs w:val="30"/>
              </w:rPr>
            </w:pPr>
            <w:r w:rsidRPr="00802B6A">
              <w:rPr>
                <w:rFonts w:ascii="仿宋_GB2312" w:eastAsia="仿宋_GB2312" w:hAnsi="楷体" w:cs="仿宋_GB2312" w:hint="eastAsia"/>
                <w:sz w:val="30"/>
                <w:szCs w:val="30"/>
              </w:rPr>
              <w:t>况</w:t>
            </w:r>
          </w:p>
        </w:tc>
        <w:tc>
          <w:tcPr>
            <w:tcW w:w="7710" w:type="dxa"/>
            <w:gridSpan w:val="2"/>
            <w:tcBorders>
              <w:top w:val="single" w:sz="12" w:space="0" w:color="auto"/>
              <w:right w:val="single" w:sz="12" w:space="0" w:color="auto"/>
            </w:tcBorders>
            <w:vAlign w:val="center"/>
          </w:tcPr>
          <w:p w:rsidR="00C14ADA" w:rsidRPr="00802B6A" w:rsidRDefault="00C14ADA" w:rsidP="00C14ADA">
            <w:pPr>
              <w:spacing w:line="440" w:lineRule="exact"/>
              <w:ind w:firstLineChars="200" w:firstLine="31680"/>
              <w:rPr>
                <w:rFonts w:ascii="仿宋_GB2312" w:eastAsia="仿宋_GB2312" w:hAnsi="Calibri"/>
                <w:sz w:val="32"/>
                <w:szCs w:val="32"/>
              </w:rPr>
            </w:pPr>
            <w:r w:rsidRPr="00802B6A">
              <w:rPr>
                <w:rFonts w:ascii="仿宋_GB2312" w:eastAsia="仿宋_GB2312" w:cs="仿宋_GB2312"/>
                <w:color w:val="333333"/>
                <w:sz w:val="32"/>
                <w:szCs w:val="32"/>
              </w:rPr>
              <w:t>1</w:t>
            </w:r>
            <w:r w:rsidRPr="00802B6A">
              <w:rPr>
                <w:rFonts w:ascii="仿宋_GB2312" w:eastAsia="仿宋_GB2312" w:cs="仿宋_GB2312" w:hint="eastAsia"/>
                <w:color w:val="333333"/>
                <w:sz w:val="32"/>
                <w:szCs w:val="32"/>
              </w:rPr>
              <w:t>、</w:t>
            </w:r>
            <w:r w:rsidRPr="00802B6A">
              <w:rPr>
                <w:rFonts w:ascii="仿宋_GB2312" w:eastAsia="仿宋_GB2312" w:cs="仿宋_GB2312" w:hint="eastAsia"/>
                <w:sz w:val="32"/>
                <w:szCs w:val="32"/>
              </w:rPr>
              <w:t>完成了</w:t>
            </w:r>
            <w:r w:rsidRPr="00802B6A">
              <w:rPr>
                <w:rFonts w:ascii="仿宋_GB2312" w:eastAsia="仿宋_GB2312" w:cs="仿宋_GB2312"/>
                <w:color w:val="333333"/>
                <w:sz w:val="32"/>
                <w:szCs w:val="32"/>
              </w:rPr>
              <w:t>2012</w:t>
            </w:r>
            <w:r w:rsidRPr="00802B6A">
              <w:rPr>
                <w:rFonts w:ascii="仿宋_GB2312" w:eastAsia="仿宋_GB2312" w:cs="仿宋_GB2312" w:hint="eastAsia"/>
                <w:color w:val="333333"/>
                <w:sz w:val="32"/>
                <w:szCs w:val="32"/>
              </w:rPr>
              <w:t>年版国家基本药物集中采购各项准备工作。一是根据</w:t>
            </w:r>
            <w:r w:rsidRPr="00802B6A">
              <w:rPr>
                <w:rFonts w:ascii="仿宋_GB2312" w:eastAsia="仿宋_GB2312" w:cs="仿宋_GB2312" w:hint="eastAsia"/>
                <w:sz w:val="32"/>
                <w:szCs w:val="32"/>
              </w:rPr>
              <w:t>《</w:t>
            </w:r>
            <w:r w:rsidRPr="00802B6A">
              <w:rPr>
                <w:rFonts w:ascii="仿宋_GB2312" w:eastAsia="仿宋_GB2312" w:cs="仿宋_GB2312"/>
                <w:color w:val="000000"/>
                <w:sz w:val="32"/>
                <w:szCs w:val="32"/>
              </w:rPr>
              <w:t>2013</w:t>
            </w:r>
            <w:r w:rsidRPr="00802B6A">
              <w:rPr>
                <w:rFonts w:ascii="仿宋_GB2312" w:eastAsia="仿宋_GB2312" w:cs="仿宋_GB2312" w:hint="eastAsia"/>
                <w:color w:val="000000"/>
                <w:sz w:val="32"/>
                <w:szCs w:val="32"/>
              </w:rPr>
              <w:t>年河北省基本药物集中采购实施方案</w:t>
            </w:r>
            <w:r w:rsidRPr="00802B6A">
              <w:rPr>
                <w:rFonts w:ascii="仿宋_GB2312" w:eastAsia="仿宋_GB2312" w:cs="仿宋_GB2312" w:hint="eastAsia"/>
                <w:sz w:val="32"/>
                <w:szCs w:val="32"/>
              </w:rPr>
              <w:t>》，起草了河北省基本药物集中采购文件，进一步明确了基本药物采购方式、评标标准、评标方法及配送等政策规定。二是根据《国家基本药物目录（</w:t>
            </w:r>
            <w:r w:rsidRPr="00802B6A">
              <w:rPr>
                <w:rFonts w:ascii="仿宋_GB2312" w:eastAsia="仿宋_GB2312" w:cs="仿宋_GB2312"/>
                <w:sz w:val="32"/>
                <w:szCs w:val="32"/>
              </w:rPr>
              <w:t>2012</w:t>
            </w:r>
            <w:r w:rsidRPr="00802B6A">
              <w:rPr>
                <w:rFonts w:ascii="仿宋_GB2312" w:eastAsia="仿宋_GB2312" w:cs="仿宋_GB2312" w:hint="eastAsia"/>
                <w:sz w:val="32"/>
                <w:szCs w:val="32"/>
              </w:rPr>
              <w:t>年版）》，研究制定了《河北省基本药物集中采购目录》</w:t>
            </w:r>
            <w:r w:rsidRPr="00802B6A">
              <w:rPr>
                <w:rFonts w:ascii="仿宋_GB2312" w:eastAsia="仿宋_GB2312" w:cs="仿宋_GB2312" w:hint="eastAsia"/>
                <w:color w:val="000000"/>
                <w:sz w:val="32"/>
                <w:szCs w:val="32"/>
              </w:rPr>
              <w:t>。三是制定了基本药物归类规则，合理划分了</w:t>
            </w:r>
            <w:r w:rsidRPr="00802B6A">
              <w:rPr>
                <w:rFonts w:ascii="仿宋_GB2312" w:eastAsia="仿宋_GB2312" w:hAnsi="Calibri" w:cs="仿宋_GB2312" w:hint="eastAsia"/>
                <w:sz w:val="32"/>
                <w:szCs w:val="32"/>
              </w:rPr>
              <w:t>化学药品</w:t>
            </w:r>
            <w:r w:rsidRPr="00802B6A">
              <w:rPr>
                <w:rFonts w:ascii="仿宋_GB2312" w:eastAsia="仿宋_GB2312" w:cs="仿宋_GB2312" w:hint="eastAsia"/>
                <w:sz w:val="32"/>
                <w:szCs w:val="32"/>
              </w:rPr>
              <w:t>与</w:t>
            </w:r>
            <w:r w:rsidRPr="00802B6A">
              <w:rPr>
                <w:rFonts w:ascii="仿宋_GB2312" w:eastAsia="仿宋_GB2312" w:hAnsi="Calibri" w:cs="仿宋_GB2312" w:hint="eastAsia"/>
                <w:sz w:val="32"/>
                <w:szCs w:val="32"/>
              </w:rPr>
              <w:t>生物制品</w:t>
            </w:r>
            <w:r w:rsidRPr="00802B6A">
              <w:rPr>
                <w:rFonts w:ascii="仿宋_GB2312" w:eastAsia="仿宋_GB2312" w:cs="仿宋_GB2312" w:hint="eastAsia"/>
                <w:sz w:val="32"/>
                <w:szCs w:val="32"/>
              </w:rPr>
              <w:t>及中成药的</w:t>
            </w:r>
            <w:r w:rsidRPr="00802B6A">
              <w:rPr>
                <w:rFonts w:ascii="仿宋_GB2312" w:eastAsia="仿宋_GB2312" w:cs="仿宋_GB2312" w:hint="eastAsia"/>
                <w:color w:val="000000"/>
                <w:sz w:val="32"/>
                <w:szCs w:val="32"/>
              </w:rPr>
              <w:t>剂型、规格，形成较为公平的竞争机制，</w:t>
            </w:r>
            <w:r w:rsidRPr="00802B6A">
              <w:rPr>
                <w:rFonts w:ascii="仿宋_GB2312" w:eastAsia="仿宋_GB2312" w:cs="仿宋_GB2312" w:hint="eastAsia"/>
                <w:sz w:val="32"/>
                <w:szCs w:val="32"/>
              </w:rPr>
              <w:t>探索质优和价廉的统一。</w:t>
            </w:r>
          </w:p>
          <w:p w:rsidR="00C14ADA" w:rsidRPr="00802B6A" w:rsidRDefault="00C14ADA" w:rsidP="00C14ADA">
            <w:pPr>
              <w:spacing w:line="440" w:lineRule="exact"/>
              <w:ind w:firstLineChars="200" w:firstLine="31680"/>
              <w:rPr>
                <w:rFonts w:ascii="仿宋_GB2312" w:eastAsia="仿宋_GB2312"/>
                <w:sz w:val="32"/>
                <w:szCs w:val="32"/>
              </w:rPr>
            </w:pPr>
            <w:r w:rsidRPr="00802B6A">
              <w:rPr>
                <w:rFonts w:ascii="仿宋_GB2312" w:eastAsia="仿宋_GB2312" w:cs="仿宋_GB2312"/>
                <w:color w:val="333333"/>
                <w:sz w:val="32"/>
                <w:szCs w:val="32"/>
              </w:rPr>
              <w:t>2</w:t>
            </w:r>
            <w:r w:rsidRPr="00802B6A">
              <w:rPr>
                <w:rFonts w:ascii="仿宋_GB2312" w:eastAsia="仿宋_GB2312" w:cs="仿宋_GB2312" w:hint="eastAsia"/>
                <w:color w:val="333333"/>
                <w:sz w:val="32"/>
                <w:szCs w:val="32"/>
              </w:rPr>
              <w:t>、采购平台平稳运行。</w:t>
            </w:r>
            <w:r w:rsidRPr="00802B6A">
              <w:rPr>
                <w:rFonts w:ascii="仿宋_GB2312" w:eastAsia="仿宋_GB2312" w:cs="仿宋_GB2312" w:hint="eastAsia"/>
                <w:sz w:val="32"/>
                <w:szCs w:val="32"/>
              </w:rPr>
              <w:t>能够及时排查发现解决平台异常问题，及时对医疗机构、生产企业、经营企业网上交易疑难情况进行处理。全年共完成平台优化改造</w:t>
            </w:r>
            <w:r w:rsidRPr="00802B6A">
              <w:rPr>
                <w:rFonts w:ascii="仿宋_GB2312" w:eastAsia="仿宋_GB2312" w:cs="仿宋_GB2312"/>
                <w:sz w:val="32"/>
                <w:szCs w:val="32"/>
              </w:rPr>
              <w:t>68</w:t>
            </w:r>
            <w:r w:rsidRPr="00802B6A">
              <w:rPr>
                <w:rFonts w:ascii="仿宋_GB2312" w:eastAsia="仿宋_GB2312" w:cs="仿宋_GB2312" w:hint="eastAsia"/>
                <w:sz w:val="32"/>
                <w:szCs w:val="32"/>
              </w:rPr>
              <w:t>项，优化了二级以上医疗机构网上自行采购，简化了医疗机构药品备案采购程序，提高了采购效率。对生产、经营企业名称变更和产品规格变更等资料及时进行审核，发布企业信息与药品信息变更公告</w:t>
            </w:r>
            <w:r w:rsidRPr="00802B6A">
              <w:rPr>
                <w:rFonts w:ascii="仿宋_GB2312" w:eastAsia="仿宋_GB2312" w:cs="仿宋_GB2312"/>
                <w:sz w:val="32"/>
                <w:szCs w:val="32"/>
              </w:rPr>
              <w:t>6</w:t>
            </w:r>
            <w:r w:rsidRPr="00802B6A">
              <w:rPr>
                <w:rFonts w:ascii="仿宋_GB2312" w:eastAsia="仿宋_GB2312" w:cs="仿宋_GB2312" w:hint="eastAsia"/>
                <w:sz w:val="32"/>
                <w:szCs w:val="32"/>
              </w:rPr>
              <w:t>次，审核通过并公布</w:t>
            </w:r>
            <w:r w:rsidRPr="00802B6A">
              <w:rPr>
                <w:rFonts w:ascii="仿宋_GB2312" w:eastAsia="仿宋_GB2312" w:cs="仿宋_GB2312"/>
                <w:sz w:val="32"/>
                <w:szCs w:val="32"/>
              </w:rPr>
              <w:t>226</w:t>
            </w:r>
            <w:r w:rsidRPr="00802B6A">
              <w:rPr>
                <w:rFonts w:ascii="仿宋_GB2312" w:eastAsia="仿宋_GB2312" w:cs="仿宋_GB2312" w:hint="eastAsia"/>
                <w:sz w:val="32"/>
                <w:szCs w:val="32"/>
              </w:rPr>
              <w:t>条变更信息，其中包含生产企业</w:t>
            </w:r>
            <w:r w:rsidRPr="00802B6A">
              <w:rPr>
                <w:rFonts w:ascii="仿宋_GB2312" w:eastAsia="仿宋_GB2312" w:cs="仿宋_GB2312"/>
                <w:sz w:val="32"/>
                <w:szCs w:val="32"/>
              </w:rPr>
              <w:t xml:space="preserve"> 83</w:t>
            </w:r>
            <w:r w:rsidRPr="00802B6A">
              <w:rPr>
                <w:rFonts w:ascii="仿宋_GB2312" w:eastAsia="仿宋_GB2312" w:cs="仿宋_GB2312" w:hint="eastAsia"/>
                <w:sz w:val="32"/>
                <w:szCs w:val="32"/>
              </w:rPr>
              <w:t>条，经营企业</w:t>
            </w:r>
            <w:r w:rsidRPr="00802B6A">
              <w:rPr>
                <w:rFonts w:ascii="仿宋_GB2312" w:eastAsia="仿宋_GB2312" w:cs="仿宋_GB2312"/>
                <w:sz w:val="32"/>
                <w:szCs w:val="32"/>
              </w:rPr>
              <w:t>63</w:t>
            </w:r>
            <w:r w:rsidRPr="00802B6A">
              <w:rPr>
                <w:rFonts w:ascii="仿宋_GB2312" w:eastAsia="仿宋_GB2312" w:cs="仿宋_GB2312" w:hint="eastAsia"/>
                <w:sz w:val="32"/>
                <w:szCs w:val="32"/>
              </w:rPr>
              <w:t>条，药品信息</w:t>
            </w:r>
            <w:r w:rsidRPr="00802B6A">
              <w:rPr>
                <w:rFonts w:ascii="仿宋_GB2312" w:eastAsia="仿宋_GB2312" w:cs="仿宋_GB2312"/>
                <w:sz w:val="32"/>
                <w:szCs w:val="32"/>
              </w:rPr>
              <w:t>80</w:t>
            </w:r>
            <w:r w:rsidRPr="00802B6A">
              <w:rPr>
                <w:rFonts w:ascii="仿宋_GB2312" w:eastAsia="仿宋_GB2312" w:cs="仿宋_GB2312" w:hint="eastAsia"/>
                <w:sz w:val="32"/>
                <w:szCs w:val="32"/>
              </w:rPr>
              <w:t>条。</w:t>
            </w:r>
            <w:r w:rsidRPr="00802B6A">
              <w:rPr>
                <w:rFonts w:ascii="仿宋_GB2312" w:eastAsia="仿宋_GB2312" w:hAnsi="宋体" w:cs="仿宋_GB2312" w:hint="eastAsia"/>
                <w:color w:val="000000"/>
                <w:kern w:val="0"/>
                <w:sz w:val="32"/>
                <w:szCs w:val="32"/>
              </w:rPr>
              <w:t>对过期的企业及其产品资质证明文件进行审核，并进行网上修改。</w:t>
            </w:r>
            <w:r w:rsidRPr="00802B6A">
              <w:rPr>
                <w:rFonts w:ascii="仿宋_GB2312" w:eastAsia="仿宋_GB2312" w:cs="仿宋_GB2312" w:hint="eastAsia"/>
                <w:sz w:val="32"/>
                <w:szCs w:val="32"/>
              </w:rPr>
              <w:t>完成了基本药物集中采购使用系统的招标采购工作。</w:t>
            </w:r>
          </w:p>
          <w:p w:rsidR="00C14ADA" w:rsidRPr="00802B6A" w:rsidRDefault="00C14ADA" w:rsidP="00A62E3B">
            <w:pPr>
              <w:spacing w:line="440" w:lineRule="exact"/>
              <w:ind w:firstLine="200"/>
              <w:rPr>
                <w:rFonts w:ascii="仿宋_GB2312" w:eastAsia="仿宋_GB2312"/>
                <w:sz w:val="32"/>
                <w:szCs w:val="32"/>
              </w:rPr>
            </w:pPr>
            <w:r w:rsidRPr="00802B6A">
              <w:rPr>
                <w:rFonts w:ascii="仿宋_GB2312" w:eastAsia="仿宋_GB2312" w:cs="仿宋_GB2312"/>
                <w:sz w:val="32"/>
                <w:szCs w:val="32"/>
              </w:rPr>
              <w:t xml:space="preserve">   </w:t>
            </w:r>
            <w:r w:rsidRPr="00802B6A">
              <w:rPr>
                <w:rFonts w:ascii="仿宋_GB2312" w:eastAsia="仿宋_GB2312" w:cs="仿宋_GB2312"/>
                <w:color w:val="333333"/>
                <w:sz w:val="32"/>
                <w:szCs w:val="32"/>
              </w:rPr>
              <w:t>3</w:t>
            </w:r>
            <w:r w:rsidRPr="00802B6A">
              <w:rPr>
                <w:rFonts w:ascii="仿宋_GB2312" w:eastAsia="仿宋_GB2312" w:cs="仿宋_GB2312" w:hint="eastAsia"/>
                <w:color w:val="333333"/>
                <w:sz w:val="32"/>
                <w:szCs w:val="32"/>
              </w:rPr>
              <w:t>、建立了药品价格数据库。</w:t>
            </w:r>
            <w:r w:rsidRPr="00802B6A">
              <w:rPr>
                <w:rFonts w:ascii="仿宋_GB2312" w:eastAsia="仿宋_GB2312" w:cs="仿宋_GB2312" w:hint="eastAsia"/>
                <w:sz w:val="32"/>
                <w:szCs w:val="32"/>
              </w:rPr>
              <w:t>根据《国家发展改革委关于调整部分抗微生物类和循环系统类药品最高零售价格的通知》（发改价格〔</w:t>
            </w:r>
            <w:r w:rsidRPr="00802B6A">
              <w:rPr>
                <w:rFonts w:ascii="仿宋_GB2312" w:eastAsia="仿宋_GB2312" w:cs="仿宋_GB2312"/>
                <w:sz w:val="32"/>
                <w:szCs w:val="32"/>
              </w:rPr>
              <w:t>2011</w:t>
            </w:r>
            <w:r w:rsidRPr="00802B6A">
              <w:rPr>
                <w:rFonts w:ascii="仿宋_GB2312" w:eastAsia="仿宋_GB2312" w:cs="仿宋_GB2312" w:hint="eastAsia"/>
                <w:sz w:val="32"/>
                <w:szCs w:val="32"/>
              </w:rPr>
              <w:t>〕</w:t>
            </w:r>
            <w:r w:rsidRPr="00802B6A">
              <w:rPr>
                <w:rFonts w:ascii="仿宋_GB2312" w:eastAsia="仿宋_GB2312" w:cs="仿宋_GB2312"/>
                <w:sz w:val="32"/>
                <w:szCs w:val="32"/>
              </w:rPr>
              <w:t>440</w:t>
            </w:r>
            <w:r w:rsidRPr="00802B6A">
              <w:rPr>
                <w:rFonts w:ascii="仿宋_GB2312" w:eastAsia="仿宋_GB2312" w:cs="仿宋_GB2312" w:hint="eastAsia"/>
                <w:sz w:val="32"/>
                <w:szCs w:val="32"/>
              </w:rPr>
              <w:t>号）、《国家发展改革委关于调整呼吸解热镇痛和专科特殊用药等药品价格及有关问题的通知》（发改价格〔</w:t>
            </w:r>
            <w:r w:rsidRPr="00802B6A">
              <w:rPr>
                <w:rFonts w:ascii="仿宋_GB2312" w:eastAsia="仿宋_GB2312" w:cs="仿宋_GB2312"/>
                <w:sz w:val="32"/>
                <w:szCs w:val="32"/>
              </w:rPr>
              <w:t>2012</w:t>
            </w:r>
            <w:r w:rsidRPr="00802B6A">
              <w:rPr>
                <w:rFonts w:ascii="仿宋_GB2312" w:eastAsia="仿宋_GB2312" w:cs="仿宋_GB2312" w:hint="eastAsia"/>
                <w:sz w:val="32"/>
                <w:szCs w:val="32"/>
              </w:rPr>
              <w:t>〕</w:t>
            </w:r>
            <w:r w:rsidRPr="00802B6A">
              <w:rPr>
                <w:rFonts w:ascii="仿宋_GB2312" w:eastAsia="仿宋_GB2312" w:cs="仿宋_GB2312"/>
                <w:sz w:val="32"/>
                <w:szCs w:val="32"/>
              </w:rPr>
              <w:t>4134</w:t>
            </w:r>
            <w:r w:rsidRPr="00802B6A">
              <w:rPr>
                <w:rFonts w:ascii="仿宋_GB2312" w:eastAsia="仿宋_GB2312" w:cs="仿宋_GB2312" w:hint="eastAsia"/>
                <w:sz w:val="32"/>
                <w:szCs w:val="32"/>
              </w:rPr>
              <w:t>号）等文件，建立了药品最高零售价格数据库和</w:t>
            </w:r>
            <w:r w:rsidRPr="00802B6A">
              <w:rPr>
                <w:rFonts w:ascii="仿宋_GB2312" w:eastAsia="仿宋_GB2312" w:cs="仿宋_GB2312" w:hint="eastAsia"/>
                <w:color w:val="000000"/>
                <w:sz w:val="32"/>
                <w:szCs w:val="32"/>
              </w:rPr>
              <w:t>基本药物中标药品价格数据库，</w:t>
            </w:r>
            <w:r w:rsidRPr="00802B6A">
              <w:rPr>
                <w:rFonts w:ascii="仿宋_GB2312" w:eastAsia="仿宋_GB2312" w:cs="仿宋_GB2312" w:hint="eastAsia"/>
                <w:sz w:val="32"/>
                <w:szCs w:val="32"/>
              </w:rPr>
              <w:t>非基本药物中标药品基础数据库。</w:t>
            </w:r>
          </w:p>
          <w:p w:rsidR="00C14ADA" w:rsidRPr="00802B6A" w:rsidRDefault="00C14ADA" w:rsidP="00C14ADA">
            <w:pPr>
              <w:spacing w:line="440" w:lineRule="exact"/>
              <w:ind w:firstLineChars="200" w:firstLine="31680"/>
              <w:rPr>
                <w:rFonts w:ascii="仿宋_GB2312" w:eastAsia="仿宋_GB2312"/>
                <w:sz w:val="32"/>
                <w:szCs w:val="32"/>
              </w:rPr>
            </w:pPr>
            <w:r w:rsidRPr="00802B6A">
              <w:rPr>
                <w:rFonts w:ascii="仿宋_GB2312" w:eastAsia="仿宋_GB2312" w:hAnsi="Calibri" w:cs="仿宋_GB2312"/>
                <w:color w:val="333333"/>
                <w:sz w:val="32"/>
                <w:szCs w:val="32"/>
              </w:rPr>
              <w:t>4</w:t>
            </w:r>
            <w:r w:rsidRPr="00802B6A">
              <w:rPr>
                <w:rFonts w:ascii="仿宋_GB2312" w:eastAsia="仿宋_GB2312" w:hAnsi="Calibri" w:cs="仿宋_GB2312" w:hint="eastAsia"/>
                <w:color w:val="333333"/>
                <w:sz w:val="32"/>
                <w:szCs w:val="32"/>
              </w:rPr>
              <w:t>、做好医用耗材集中采购（第二批）招标准备工作。</w:t>
            </w:r>
            <w:r w:rsidRPr="00802B6A">
              <w:rPr>
                <w:rFonts w:ascii="仿宋_GB2312" w:eastAsia="仿宋_GB2312" w:cs="仿宋_GB2312" w:hint="eastAsia"/>
                <w:color w:val="2B2B2B"/>
                <w:sz w:val="32"/>
                <w:szCs w:val="32"/>
              </w:rPr>
              <w:t>按照“积极稳妥，分步实施，逐步推开”的原则，</w:t>
            </w:r>
            <w:r w:rsidRPr="00802B6A">
              <w:rPr>
                <w:rFonts w:ascii="仿宋_GB2312" w:eastAsia="仿宋_GB2312" w:cs="仿宋_GB2312" w:hint="eastAsia"/>
                <w:color w:val="333333"/>
                <w:sz w:val="32"/>
                <w:szCs w:val="32"/>
              </w:rPr>
              <w:t>我们在充分吸收我省及其他省医用耗材招标经验的同时，通过走访医疗机构，征询相关专家意见，召开专题会议等形式，对采购目录的形成、招投标的方式方法充分征求意见建议，为筹备开展第二次医用耗材招标工作做好准备。</w:t>
            </w:r>
            <w:r w:rsidRPr="00802B6A">
              <w:rPr>
                <w:rFonts w:ascii="仿宋_GB2312" w:eastAsia="仿宋_GB2312" w:cs="仿宋_GB2312" w:hint="eastAsia"/>
                <w:color w:val="2B2B2B"/>
                <w:sz w:val="32"/>
                <w:szCs w:val="32"/>
              </w:rPr>
              <w:t>编制了</w:t>
            </w:r>
            <w:r w:rsidRPr="00802B6A">
              <w:rPr>
                <w:rFonts w:ascii="仿宋_GB2312" w:eastAsia="仿宋_GB2312" w:cs="仿宋_GB2312" w:hint="eastAsia"/>
                <w:sz w:val="32"/>
                <w:szCs w:val="32"/>
              </w:rPr>
              <w:t>《河北省医疗机构医用耗材集中采购目录（第二批）》，</w:t>
            </w:r>
            <w:r w:rsidRPr="00802B6A">
              <w:rPr>
                <w:rFonts w:ascii="仿宋_GB2312" w:eastAsia="仿宋_GB2312" w:cs="仿宋_GB2312" w:hint="eastAsia"/>
                <w:color w:val="333333"/>
                <w:sz w:val="32"/>
                <w:szCs w:val="32"/>
              </w:rPr>
              <w:t>起草了河北省医疗机构医用耗材集中采购文件，在投标企业及其产品必须具备的条件、评标评审、采购配送等方面，</w:t>
            </w:r>
            <w:r w:rsidRPr="00802B6A">
              <w:rPr>
                <w:rFonts w:ascii="仿宋_GB2312" w:eastAsia="仿宋_GB2312" w:cs="仿宋_GB2312" w:hint="eastAsia"/>
                <w:sz w:val="32"/>
                <w:szCs w:val="32"/>
              </w:rPr>
              <w:t>做出了明确的规定。</w:t>
            </w:r>
          </w:p>
          <w:p w:rsidR="00C14ADA" w:rsidRPr="00802B6A" w:rsidRDefault="00C14ADA" w:rsidP="00C14ADA">
            <w:pPr>
              <w:spacing w:line="440" w:lineRule="exact"/>
              <w:ind w:firstLineChars="200" w:firstLine="31680"/>
              <w:rPr>
                <w:rFonts w:ascii="仿宋_GB2312" w:eastAsia="仿宋_GB2312"/>
                <w:sz w:val="32"/>
                <w:szCs w:val="32"/>
              </w:rPr>
            </w:pPr>
          </w:p>
          <w:p w:rsidR="00C14ADA" w:rsidRPr="00802B6A" w:rsidRDefault="00C14ADA" w:rsidP="00C14ADA">
            <w:pPr>
              <w:spacing w:line="440" w:lineRule="exact"/>
              <w:ind w:firstLineChars="200" w:firstLine="31680"/>
              <w:rPr>
                <w:rFonts w:ascii="仿宋_GB2312" w:eastAsia="仿宋_GB2312"/>
                <w:sz w:val="32"/>
                <w:szCs w:val="32"/>
              </w:rPr>
            </w:pPr>
          </w:p>
          <w:p w:rsidR="00C14ADA" w:rsidRPr="00802B6A" w:rsidRDefault="00C14ADA" w:rsidP="00A62E3B">
            <w:pPr>
              <w:spacing w:line="440" w:lineRule="exact"/>
              <w:rPr>
                <w:rFonts w:ascii="仿宋_GB2312" w:eastAsia="仿宋_GB2312" w:hAnsi="楷体"/>
                <w:sz w:val="30"/>
                <w:szCs w:val="30"/>
              </w:rPr>
            </w:pPr>
          </w:p>
        </w:tc>
      </w:tr>
      <w:tr w:rsidR="00C14ADA" w:rsidRPr="00802B6A">
        <w:trPr>
          <w:trHeight w:val="2060"/>
          <w:jc w:val="center"/>
        </w:trPr>
        <w:tc>
          <w:tcPr>
            <w:tcW w:w="1831" w:type="dxa"/>
            <w:tcBorders>
              <w:left w:val="single" w:sz="12" w:space="0" w:color="auto"/>
            </w:tcBorders>
            <w:vAlign w:val="center"/>
          </w:tcPr>
          <w:p w:rsidR="00C14ADA" w:rsidRPr="00802B6A" w:rsidRDefault="00C14ADA" w:rsidP="00A62E3B">
            <w:pPr>
              <w:spacing w:line="400" w:lineRule="exact"/>
              <w:jc w:val="center"/>
              <w:rPr>
                <w:rFonts w:ascii="仿宋_GB2312" w:eastAsia="仿宋_GB2312" w:hAnsi="楷体"/>
                <w:sz w:val="30"/>
                <w:szCs w:val="30"/>
              </w:rPr>
            </w:pPr>
            <w:r w:rsidRPr="00802B6A">
              <w:rPr>
                <w:rFonts w:ascii="仿宋_GB2312" w:eastAsia="仿宋_GB2312" w:hAnsi="楷体" w:cs="仿宋_GB2312" w:hint="eastAsia"/>
                <w:sz w:val="30"/>
                <w:szCs w:val="30"/>
              </w:rPr>
              <w:t>相关资质认可或执业许可证明文件及有</w:t>
            </w:r>
            <w:r w:rsidRPr="00802B6A">
              <w:rPr>
                <w:rFonts w:ascii="仿宋_GB2312" w:eastAsia="仿宋_GB2312" w:hAnsi="楷体" w:cs="仿宋_GB2312"/>
                <w:sz w:val="30"/>
                <w:szCs w:val="30"/>
              </w:rPr>
              <w:t xml:space="preserve"> </w:t>
            </w:r>
            <w:r w:rsidRPr="00802B6A">
              <w:rPr>
                <w:rFonts w:ascii="仿宋_GB2312" w:eastAsia="仿宋_GB2312" w:hAnsi="楷体" w:cs="仿宋_GB2312" w:hint="eastAsia"/>
                <w:sz w:val="30"/>
                <w:szCs w:val="30"/>
              </w:rPr>
              <w:t>效</w:t>
            </w:r>
            <w:r w:rsidRPr="00802B6A">
              <w:rPr>
                <w:rFonts w:ascii="仿宋_GB2312" w:eastAsia="仿宋_GB2312" w:hAnsi="楷体" w:cs="仿宋_GB2312"/>
                <w:sz w:val="30"/>
                <w:szCs w:val="30"/>
              </w:rPr>
              <w:t xml:space="preserve"> </w:t>
            </w:r>
            <w:r w:rsidRPr="00802B6A">
              <w:rPr>
                <w:rFonts w:ascii="仿宋_GB2312" w:eastAsia="仿宋_GB2312" w:hAnsi="楷体" w:cs="仿宋_GB2312" w:hint="eastAsia"/>
                <w:sz w:val="30"/>
                <w:szCs w:val="30"/>
              </w:rPr>
              <w:t>期</w:t>
            </w:r>
          </w:p>
        </w:tc>
        <w:tc>
          <w:tcPr>
            <w:tcW w:w="7710" w:type="dxa"/>
            <w:gridSpan w:val="2"/>
            <w:tcBorders>
              <w:right w:val="single" w:sz="12" w:space="0" w:color="auto"/>
            </w:tcBorders>
            <w:vAlign w:val="center"/>
          </w:tcPr>
          <w:p w:rsidR="00C14ADA" w:rsidRPr="00802B6A" w:rsidRDefault="00C14ADA" w:rsidP="00C14ADA">
            <w:pPr>
              <w:spacing w:line="440" w:lineRule="exact"/>
              <w:ind w:firstLineChars="200" w:firstLine="31680"/>
              <w:rPr>
                <w:rFonts w:ascii="仿宋_GB2312" w:eastAsia="仿宋_GB2312" w:hAnsi="楷体"/>
                <w:sz w:val="30"/>
                <w:szCs w:val="30"/>
              </w:rPr>
            </w:pPr>
            <w:r w:rsidRPr="00802B6A">
              <w:rPr>
                <w:rFonts w:ascii="仿宋_GB2312" w:eastAsia="仿宋_GB2312" w:hAnsi="楷体" w:cs="仿宋_GB2312" w:hint="eastAsia"/>
                <w:sz w:val="30"/>
                <w:szCs w:val="30"/>
              </w:rPr>
              <w:t>因机构改革“河北省人民政府办公厅关于印发河北省卫生和计划生育委员会主要职责内设机构和人员编制规定的通知”冀政办〔</w:t>
            </w:r>
            <w:r w:rsidRPr="00802B6A">
              <w:rPr>
                <w:rFonts w:ascii="仿宋_GB2312" w:eastAsia="仿宋_GB2312" w:hAnsi="楷体" w:cs="仿宋_GB2312"/>
                <w:sz w:val="30"/>
                <w:szCs w:val="30"/>
              </w:rPr>
              <w:t>2013</w:t>
            </w:r>
            <w:r w:rsidRPr="00802B6A">
              <w:rPr>
                <w:rFonts w:ascii="仿宋_GB2312" w:eastAsia="仿宋_GB2312" w:hAnsi="楷体" w:cs="仿宋_GB2312" w:hint="eastAsia"/>
                <w:sz w:val="30"/>
                <w:szCs w:val="30"/>
              </w:rPr>
              <w:t>〕</w:t>
            </w:r>
            <w:r w:rsidRPr="00802B6A">
              <w:rPr>
                <w:rFonts w:ascii="仿宋_GB2312" w:eastAsia="仿宋_GB2312" w:hAnsi="楷体" w:cs="仿宋_GB2312"/>
                <w:sz w:val="30"/>
                <w:szCs w:val="30"/>
              </w:rPr>
              <w:t>25</w:t>
            </w:r>
            <w:r w:rsidRPr="00802B6A">
              <w:rPr>
                <w:rFonts w:ascii="仿宋_GB2312" w:eastAsia="仿宋_GB2312" w:hAnsi="楷体" w:cs="仿宋_GB2312" w:hint="eastAsia"/>
                <w:sz w:val="30"/>
                <w:szCs w:val="30"/>
              </w:rPr>
              <w:t>号</w:t>
            </w:r>
          </w:p>
        </w:tc>
      </w:tr>
      <w:tr w:rsidR="00C14ADA" w:rsidRPr="00802B6A">
        <w:trPr>
          <w:trHeight w:val="4723"/>
          <w:jc w:val="center"/>
        </w:trPr>
        <w:tc>
          <w:tcPr>
            <w:tcW w:w="1831" w:type="dxa"/>
            <w:tcBorders>
              <w:top w:val="single" w:sz="12" w:space="0" w:color="auto"/>
              <w:left w:val="single" w:sz="12" w:space="0" w:color="auto"/>
            </w:tcBorders>
            <w:vAlign w:val="center"/>
          </w:tcPr>
          <w:p w:rsidR="00C14ADA" w:rsidRPr="00802B6A" w:rsidRDefault="00C14ADA" w:rsidP="00A62E3B">
            <w:pPr>
              <w:adjustRightInd w:val="0"/>
              <w:snapToGrid w:val="0"/>
              <w:spacing w:line="360" w:lineRule="auto"/>
              <w:jc w:val="center"/>
              <w:rPr>
                <w:rFonts w:ascii="仿宋_GB2312" w:eastAsia="仿宋_GB2312" w:hAnsi="楷体"/>
                <w:sz w:val="30"/>
                <w:szCs w:val="30"/>
              </w:rPr>
            </w:pPr>
            <w:r w:rsidRPr="00802B6A">
              <w:rPr>
                <w:rFonts w:ascii="仿宋_GB2312" w:eastAsia="仿宋_GB2312" w:hAnsi="楷体" w:cs="仿宋_GB2312" w:hint="eastAsia"/>
                <w:sz w:val="30"/>
                <w:szCs w:val="30"/>
              </w:rPr>
              <w:t>受奖</w:t>
            </w:r>
          </w:p>
          <w:p w:rsidR="00C14ADA" w:rsidRPr="00802B6A" w:rsidRDefault="00C14ADA" w:rsidP="00A62E3B">
            <w:pPr>
              <w:adjustRightInd w:val="0"/>
              <w:snapToGrid w:val="0"/>
              <w:spacing w:line="360" w:lineRule="auto"/>
              <w:jc w:val="center"/>
              <w:rPr>
                <w:rFonts w:ascii="仿宋_GB2312" w:eastAsia="仿宋_GB2312" w:hAnsi="楷体"/>
                <w:sz w:val="30"/>
                <w:szCs w:val="30"/>
              </w:rPr>
            </w:pPr>
            <w:r w:rsidRPr="00802B6A">
              <w:rPr>
                <w:rFonts w:ascii="仿宋_GB2312" w:eastAsia="仿宋_GB2312" w:hAnsi="楷体" w:cs="仿宋_GB2312" w:hint="eastAsia"/>
                <w:sz w:val="30"/>
                <w:szCs w:val="30"/>
              </w:rPr>
              <w:t>惩及</w:t>
            </w:r>
          </w:p>
          <w:p w:rsidR="00C14ADA" w:rsidRPr="00802B6A" w:rsidRDefault="00C14ADA" w:rsidP="00A62E3B">
            <w:pPr>
              <w:adjustRightInd w:val="0"/>
              <w:snapToGrid w:val="0"/>
              <w:spacing w:line="360" w:lineRule="auto"/>
              <w:jc w:val="center"/>
              <w:rPr>
                <w:rFonts w:ascii="仿宋_GB2312" w:eastAsia="仿宋_GB2312" w:hAnsi="楷体"/>
                <w:sz w:val="30"/>
                <w:szCs w:val="30"/>
              </w:rPr>
            </w:pPr>
            <w:r w:rsidRPr="00802B6A">
              <w:rPr>
                <w:rFonts w:ascii="仿宋_GB2312" w:eastAsia="仿宋_GB2312" w:hAnsi="楷体" w:cs="仿宋_GB2312" w:hint="eastAsia"/>
                <w:sz w:val="30"/>
                <w:szCs w:val="30"/>
              </w:rPr>
              <w:t>诉讼</w:t>
            </w:r>
          </w:p>
          <w:p w:rsidR="00C14ADA" w:rsidRPr="00802B6A" w:rsidRDefault="00C14ADA" w:rsidP="00A62E3B">
            <w:pPr>
              <w:adjustRightInd w:val="0"/>
              <w:snapToGrid w:val="0"/>
              <w:spacing w:line="360" w:lineRule="auto"/>
              <w:jc w:val="center"/>
              <w:rPr>
                <w:rFonts w:ascii="仿宋_GB2312" w:eastAsia="仿宋_GB2312" w:hAnsi="楷体"/>
                <w:sz w:val="30"/>
                <w:szCs w:val="30"/>
              </w:rPr>
            </w:pPr>
            <w:r w:rsidRPr="00802B6A">
              <w:rPr>
                <w:rFonts w:ascii="仿宋_GB2312" w:eastAsia="仿宋_GB2312" w:hAnsi="楷体" w:cs="仿宋_GB2312" w:hint="eastAsia"/>
                <w:sz w:val="30"/>
                <w:szCs w:val="30"/>
              </w:rPr>
              <w:t>投诉</w:t>
            </w:r>
          </w:p>
          <w:p w:rsidR="00C14ADA" w:rsidRPr="00802B6A" w:rsidRDefault="00C14ADA" w:rsidP="00A62E3B">
            <w:pPr>
              <w:adjustRightInd w:val="0"/>
              <w:snapToGrid w:val="0"/>
              <w:spacing w:line="360" w:lineRule="auto"/>
              <w:jc w:val="center"/>
              <w:rPr>
                <w:rFonts w:ascii="仿宋_GB2312" w:eastAsia="仿宋_GB2312" w:hAnsi="楷体"/>
                <w:sz w:val="30"/>
                <w:szCs w:val="30"/>
              </w:rPr>
            </w:pPr>
            <w:r w:rsidRPr="00802B6A">
              <w:rPr>
                <w:rFonts w:ascii="仿宋_GB2312" w:eastAsia="仿宋_GB2312" w:hAnsi="楷体" w:cs="仿宋_GB2312" w:hint="eastAsia"/>
                <w:sz w:val="30"/>
                <w:szCs w:val="30"/>
              </w:rPr>
              <w:t>情况</w:t>
            </w:r>
          </w:p>
        </w:tc>
        <w:tc>
          <w:tcPr>
            <w:tcW w:w="7710" w:type="dxa"/>
            <w:gridSpan w:val="2"/>
            <w:tcBorders>
              <w:top w:val="single" w:sz="12" w:space="0" w:color="auto"/>
              <w:right w:val="single" w:sz="12" w:space="0" w:color="auto"/>
            </w:tcBorders>
          </w:tcPr>
          <w:p w:rsidR="00C14ADA" w:rsidRPr="00802B6A" w:rsidRDefault="00C14ADA" w:rsidP="00A62E3B">
            <w:pPr>
              <w:jc w:val="left"/>
              <w:rPr>
                <w:rFonts w:ascii="仿宋_GB2312" w:eastAsia="仿宋_GB2312" w:hAnsi="楷体"/>
                <w:sz w:val="30"/>
                <w:szCs w:val="30"/>
              </w:rPr>
            </w:pPr>
            <w:r w:rsidRPr="00802B6A">
              <w:rPr>
                <w:rFonts w:ascii="仿宋_GB2312" w:eastAsia="仿宋_GB2312" w:hAnsi="楷体" w:cs="仿宋_GB2312" w:hint="eastAsia"/>
                <w:sz w:val="30"/>
                <w:szCs w:val="30"/>
              </w:rPr>
              <w:t>无</w:t>
            </w:r>
          </w:p>
          <w:p w:rsidR="00C14ADA" w:rsidRPr="00802B6A" w:rsidRDefault="00C14ADA" w:rsidP="00A62E3B">
            <w:pPr>
              <w:rPr>
                <w:rFonts w:ascii="仿宋_GB2312" w:eastAsia="仿宋_GB2312" w:hAnsi="楷体"/>
                <w:sz w:val="30"/>
                <w:szCs w:val="30"/>
              </w:rPr>
            </w:pPr>
          </w:p>
          <w:p w:rsidR="00C14ADA" w:rsidRPr="00802B6A" w:rsidRDefault="00C14ADA" w:rsidP="00A62E3B">
            <w:pPr>
              <w:rPr>
                <w:rFonts w:ascii="仿宋_GB2312" w:eastAsia="仿宋_GB2312" w:hAnsi="楷体"/>
                <w:sz w:val="30"/>
                <w:szCs w:val="30"/>
              </w:rPr>
            </w:pPr>
          </w:p>
          <w:p w:rsidR="00C14ADA" w:rsidRPr="00802B6A" w:rsidRDefault="00C14ADA" w:rsidP="00A62E3B">
            <w:pPr>
              <w:rPr>
                <w:rFonts w:ascii="仿宋_GB2312" w:eastAsia="仿宋_GB2312" w:hAnsi="楷体"/>
                <w:sz w:val="30"/>
                <w:szCs w:val="30"/>
              </w:rPr>
            </w:pPr>
          </w:p>
        </w:tc>
      </w:tr>
      <w:tr w:rsidR="00C14ADA" w:rsidRPr="00802B6A">
        <w:trPr>
          <w:trHeight w:val="3969"/>
          <w:jc w:val="center"/>
        </w:trPr>
        <w:tc>
          <w:tcPr>
            <w:tcW w:w="1831" w:type="dxa"/>
            <w:tcBorders>
              <w:left w:val="single" w:sz="12" w:space="0" w:color="auto"/>
              <w:bottom w:val="single" w:sz="8" w:space="0" w:color="auto"/>
            </w:tcBorders>
            <w:vAlign w:val="center"/>
          </w:tcPr>
          <w:p w:rsidR="00C14ADA" w:rsidRPr="00802B6A" w:rsidRDefault="00C14ADA" w:rsidP="00A62E3B">
            <w:pPr>
              <w:spacing w:line="240" w:lineRule="atLeast"/>
              <w:jc w:val="center"/>
              <w:rPr>
                <w:rFonts w:ascii="仿宋_GB2312" w:eastAsia="仿宋_GB2312" w:hAnsi="楷体"/>
                <w:sz w:val="30"/>
                <w:szCs w:val="30"/>
              </w:rPr>
            </w:pPr>
            <w:r w:rsidRPr="00802B6A">
              <w:rPr>
                <w:rFonts w:ascii="仿宋_GB2312" w:eastAsia="仿宋_GB2312" w:hAnsi="楷体" w:cs="仿宋_GB2312" w:hint="eastAsia"/>
                <w:sz w:val="30"/>
                <w:szCs w:val="30"/>
              </w:rPr>
              <w:t>接受</w:t>
            </w:r>
          </w:p>
          <w:p w:rsidR="00C14ADA" w:rsidRPr="00802B6A" w:rsidRDefault="00C14ADA" w:rsidP="00A62E3B">
            <w:pPr>
              <w:spacing w:line="240" w:lineRule="atLeast"/>
              <w:jc w:val="center"/>
              <w:rPr>
                <w:rFonts w:ascii="仿宋_GB2312" w:eastAsia="仿宋_GB2312" w:hAnsi="楷体"/>
                <w:sz w:val="30"/>
                <w:szCs w:val="30"/>
              </w:rPr>
            </w:pPr>
            <w:r w:rsidRPr="00802B6A">
              <w:rPr>
                <w:rFonts w:ascii="仿宋_GB2312" w:eastAsia="仿宋_GB2312" w:hAnsi="楷体" w:cs="仿宋_GB2312" w:hint="eastAsia"/>
                <w:sz w:val="30"/>
                <w:szCs w:val="30"/>
              </w:rPr>
              <w:t>捐赠</w:t>
            </w:r>
          </w:p>
          <w:p w:rsidR="00C14ADA" w:rsidRPr="00802B6A" w:rsidRDefault="00C14ADA" w:rsidP="00A62E3B">
            <w:pPr>
              <w:spacing w:line="240" w:lineRule="atLeast"/>
              <w:jc w:val="center"/>
              <w:rPr>
                <w:rFonts w:ascii="仿宋_GB2312" w:eastAsia="仿宋_GB2312" w:hAnsi="楷体"/>
                <w:sz w:val="30"/>
                <w:szCs w:val="30"/>
              </w:rPr>
            </w:pPr>
            <w:r w:rsidRPr="00802B6A">
              <w:rPr>
                <w:rFonts w:ascii="仿宋_GB2312" w:eastAsia="仿宋_GB2312" w:hAnsi="楷体" w:cs="仿宋_GB2312" w:hint="eastAsia"/>
                <w:sz w:val="30"/>
                <w:szCs w:val="30"/>
              </w:rPr>
              <w:t>资助</w:t>
            </w:r>
          </w:p>
          <w:p w:rsidR="00C14ADA" w:rsidRPr="00802B6A" w:rsidRDefault="00C14ADA" w:rsidP="00A62E3B">
            <w:pPr>
              <w:spacing w:line="240" w:lineRule="atLeast"/>
              <w:jc w:val="center"/>
              <w:rPr>
                <w:rFonts w:ascii="仿宋_GB2312" w:eastAsia="仿宋_GB2312" w:hAnsi="楷体"/>
                <w:sz w:val="30"/>
                <w:szCs w:val="30"/>
              </w:rPr>
            </w:pPr>
            <w:r w:rsidRPr="00802B6A">
              <w:rPr>
                <w:rFonts w:ascii="仿宋_GB2312" w:eastAsia="仿宋_GB2312" w:hAnsi="楷体" w:cs="仿宋_GB2312" w:hint="eastAsia"/>
                <w:sz w:val="30"/>
                <w:szCs w:val="30"/>
              </w:rPr>
              <w:t>及其</w:t>
            </w:r>
          </w:p>
          <w:p w:rsidR="00C14ADA" w:rsidRPr="00802B6A" w:rsidRDefault="00C14ADA" w:rsidP="00A62E3B">
            <w:pPr>
              <w:spacing w:line="240" w:lineRule="atLeast"/>
              <w:jc w:val="center"/>
              <w:rPr>
                <w:rFonts w:ascii="仿宋_GB2312" w:eastAsia="仿宋_GB2312" w:hAnsi="楷体"/>
                <w:sz w:val="30"/>
                <w:szCs w:val="30"/>
              </w:rPr>
            </w:pPr>
            <w:r w:rsidRPr="00802B6A">
              <w:rPr>
                <w:rFonts w:ascii="仿宋_GB2312" w:eastAsia="仿宋_GB2312" w:hAnsi="楷体" w:cs="仿宋_GB2312" w:hint="eastAsia"/>
                <w:sz w:val="30"/>
                <w:szCs w:val="30"/>
              </w:rPr>
              <w:t>使用</w:t>
            </w:r>
          </w:p>
          <w:p w:rsidR="00C14ADA" w:rsidRPr="00802B6A" w:rsidRDefault="00C14ADA" w:rsidP="00A62E3B">
            <w:pPr>
              <w:spacing w:line="240" w:lineRule="atLeast"/>
              <w:jc w:val="center"/>
              <w:rPr>
                <w:rFonts w:ascii="仿宋_GB2312" w:eastAsia="仿宋_GB2312" w:hAnsi="楷体"/>
                <w:sz w:val="30"/>
                <w:szCs w:val="30"/>
              </w:rPr>
            </w:pPr>
            <w:r w:rsidRPr="00802B6A">
              <w:rPr>
                <w:rFonts w:ascii="仿宋_GB2312" w:eastAsia="仿宋_GB2312" w:hAnsi="楷体" w:cs="仿宋_GB2312" w:hint="eastAsia"/>
                <w:sz w:val="30"/>
                <w:szCs w:val="30"/>
              </w:rPr>
              <w:t>情况</w:t>
            </w:r>
          </w:p>
        </w:tc>
        <w:tc>
          <w:tcPr>
            <w:tcW w:w="7710" w:type="dxa"/>
            <w:gridSpan w:val="2"/>
            <w:tcBorders>
              <w:bottom w:val="single" w:sz="8" w:space="0" w:color="auto"/>
              <w:right w:val="single" w:sz="12" w:space="0" w:color="auto"/>
            </w:tcBorders>
          </w:tcPr>
          <w:p w:rsidR="00C14ADA" w:rsidRPr="00802B6A" w:rsidRDefault="00C14ADA" w:rsidP="00A62E3B">
            <w:pPr>
              <w:jc w:val="left"/>
              <w:rPr>
                <w:rFonts w:ascii="仿宋_GB2312" w:eastAsia="仿宋_GB2312" w:hAnsi="楷体"/>
                <w:sz w:val="30"/>
                <w:szCs w:val="30"/>
              </w:rPr>
            </w:pPr>
            <w:r w:rsidRPr="00802B6A">
              <w:rPr>
                <w:rFonts w:ascii="仿宋_GB2312" w:eastAsia="仿宋_GB2312" w:hAnsi="楷体" w:cs="仿宋_GB2312" w:hint="eastAsia"/>
                <w:sz w:val="30"/>
                <w:szCs w:val="30"/>
              </w:rPr>
              <w:t>无</w:t>
            </w:r>
          </w:p>
          <w:p w:rsidR="00C14ADA" w:rsidRPr="00802B6A" w:rsidRDefault="00C14ADA" w:rsidP="00A62E3B">
            <w:pPr>
              <w:jc w:val="left"/>
              <w:rPr>
                <w:rFonts w:ascii="仿宋_GB2312" w:eastAsia="仿宋_GB2312" w:hAnsi="楷体"/>
                <w:sz w:val="30"/>
                <w:szCs w:val="30"/>
              </w:rPr>
            </w:pPr>
          </w:p>
        </w:tc>
      </w:tr>
      <w:tr w:rsidR="00C14ADA" w:rsidRPr="00802B6A" w:rsidTr="00802B6A">
        <w:trPr>
          <w:trHeight w:val="2916"/>
          <w:jc w:val="center"/>
        </w:trPr>
        <w:tc>
          <w:tcPr>
            <w:tcW w:w="1831" w:type="dxa"/>
            <w:tcBorders>
              <w:left w:val="single" w:sz="12" w:space="0" w:color="auto"/>
            </w:tcBorders>
            <w:vAlign w:val="center"/>
          </w:tcPr>
          <w:p w:rsidR="00C14ADA" w:rsidRPr="00802B6A" w:rsidRDefault="00C14ADA" w:rsidP="00A62E3B">
            <w:pPr>
              <w:spacing w:line="480" w:lineRule="exact"/>
              <w:jc w:val="center"/>
              <w:rPr>
                <w:rFonts w:ascii="仿宋_GB2312" w:eastAsia="仿宋_GB2312" w:hAnsi="楷体"/>
                <w:sz w:val="30"/>
                <w:szCs w:val="30"/>
              </w:rPr>
            </w:pPr>
            <w:r>
              <w:rPr>
                <w:rFonts w:ascii="仿宋_GB2312" w:eastAsia="仿宋_GB2312" w:hAnsi="楷体" w:cs="仿宋_GB2312" w:hint="eastAsia"/>
                <w:sz w:val="30"/>
                <w:szCs w:val="30"/>
              </w:rPr>
              <w:t>年检结果</w:t>
            </w:r>
          </w:p>
        </w:tc>
        <w:tc>
          <w:tcPr>
            <w:tcW w:w="7710" w:type="dxa"/>
            <w:gridSpan w:val="2"/>
            <w:tcBorders>
              <w:right w:val="single" w:sz="12" w:space="0" w:color="auto"/>
            </w:tcBorders>
            <w:vAlign w:val="center"/>
          </w:tcPr>
          <w:p w:rsidR="00C14ADA" w:rsidRPr="00802B6A" w:rsidRDefault="00C14ADA" w:rsidP="00802B6A">
            <w:pPr>
              <w:jc w:val="center"/>
              <w:rPr>
                <w:rFonts w:ascii="仿宋_GB2312" w:eastAsia="仿宋_GB2312" w:hAnsi="楷体"/>
                <w:sz w:val="30"/>
                <w:szCs w:val="30"/>
              </w:rPr>
            </w:pPr>
            <w:r>
              <w:rPr>
                <w:rFonts w:ascii="仿宋_GB2312" w:eastAsia="仿宋_GB2312" w:hAnsi="楷体" w:cs="仿宋_GB2312" w:hint="eastAsia"/>
                <w:sz w:val="30"/>
                <w:szCs w:val="30"/>
              </w:rPr>
              <w:t>合格</w:t>
            </w:r>
          </w:p>
        </w:tc>
      </w:tr>
    </w:tbl>
    <w:p w:rsidR="00C14ADA" w:rsidRPr="00802B6A" w:rsidRDefault="00C14ADA">
      <w:pPr>
        <w:rPr>
          <w:rFonts w:ascii="仿宋_GB2312" w:eastAsia="仿宋_GB2312"/>
          <w:sz w:val="30"/>
          <w:szCs w:val="30"/>
        </w:rPr>
      </w:pPr>
      <w:r w:rsidRPr="00802B6A">
        <w:rPr>
          <w:rFonts w:ascii="仿宋_GB2312" w:eastAsia="仿宋_GB2312" w:hAnsi="楷体" w:cs="仿宋_GB2312"/>
          <w:sz w:val="30"/>
          <w:szCs w:val="30"/>
        </w:rPr>
        <w:t xml:space="preserve">    </w:t>
      </w:r>
      <w:r w:rsidRPr="00802B6A">
        <w:rPr>
          <w:rFonts w:ascii="仿宋_GB2312" w:eastAsia="仿宋_GB2312" w:hAnsi="楷体" w:cs="仿宋_GB2312" w:hint="eastAsia"/>
          <w:sz w:val="30"/>
          <w:szCs w:val="30"/>
        </w:rPr>
        <w:t>填表人：</w:t>
      </w:r>
      <w:r w:rsidRPr="00802B6A">
        <w:rPr>
          <w:rFonts w:ascii="仿宋_GB2312" w:eastAsia="仿宋_GB2312" w:hAnsi="楷体" w:cs="仿宋_GB2312"/>
          <w:sz w:val="30"/>
          <w:szCs w:val="30"/>
        </w:rPr>
        <w:t xml:space="preserve"> </w:t>
      </w:r>
      <w:r w:rsidRPr="00802B6A">
        <w:rPr>
          <w:rFonts w:ascii="仿宋_GB2312" w:eastAsia="仿宋_GB2312" w:hAnsi="楷体" w:cs="仿宋_GB2312" w:hint="eastAsia"/>
          <w:sz w:val="30"/>
          <w:szCs w:val="30"/>
        </w:rPr>
        <w:t>张</w:t>
      </w:r>
      <w:r w:rsidRPr="00802B6A">
        <w:rPr>
          <w:rFonts w:ascii="仿宋_GB2312" w:eastAsia="楷体" w:hAnsi="楷体" w:cs="楷体" w:hint="eastAsia"/>
          <w:sz w:val="30"/>
          <w:szCs w:val="30"/>
        </w:rPr>
        <w:t>頔</w:t>
      </w:r>
      <w:r w:rsidRPr="00802B6A">
        <w:rPr>
          <w:rFonts w:ascii="仿宋_GB2312" w:eastAsia="仿宋_GB2312" w:hAnsi="楷体" w:cs="仿宋_GB2312"/>
          <w:sz w:val="30"/>
          <w:szCs w:val="30"/>
        </w:rPr>
        <w:t xml:space="preserve">   </w:t>
      </w:r>
      <w:r w:rsidRPr="00802B6A">
        <w:rPr>
          <w:rFonts w:ascii="仿宋_GB2312" w:eastAsia="仿宋_GB2312" w:hAnsi="楷体" w:cs="仿宋_GB2312" w:hint="eastAsia"/>
          <w:sz w:val="30"/>
          <w:szCs w:val="30"/>
        </w:rPr>
        <w:t>联系电话：</w:t>
      </w:r>
      <w:r w:rsidRPr="00802B6A">
        <w:rPr>
          <w:rFonts w:ascii="仿宋_GB2312" w:eastAsia="仿宋_GB2312" w:hAnsi="楷体" w:cs="仿宋_GB2312"/>
          <w:sz w:val="30"/>
          <w:szCs w:val="30"/>
        </w:rPr>
        <w:t xml:space="preserve">87815881      </w:t>
      </w:r>
      <w:r w:rsidRPr="00802B6A">
        <w:rPr>
          <w:rFonts w:ascii="仿宋_GB2312" w:eastAsia="仿宋_GB2312" w:hAnsi="楷体" w:cs="仿宋_GB2312" w:hint="eastAsia"/>
          <w:sz w:val="30"/>
          <w:szCs w:val="30"/>
        </w:rPr>
        <w:t>填报日期：</w:t>
      </w:r>
      <w:r w:rsidRPr="00802B6A">
        <w:rPr>
          <w:rFonts w:ascii="仿宋_GB2312" w:eastAsia="仿宋_GB2312" w:hAnsi="楷体" w:cs="仿宋_GB2312"/>
          <w:sz w:val="30"/>
          <w:szCs w:val="30"/>
        </w:rPr>
        <w:t xml:space="preserve">2014-03-21     </w:t>
      </w:r>
    </w:p>
    <w:sectPr w:rsidR="00C14ADA" w:rsidRPr="00802B6A" w:rsidSect="006041B3">
      <w:headerReference w:type="default" r:id="rId6"/>
      <w:pgSz w:w="11906" w:h="16838"/>
      <w:pgMar w:top="567" w:right="567" w:bottom="567" w:left="56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DA" w:rsidRDefault="00C14ADA" w:rsidP="00587FFA">
      <w:r>
        <w:separator/>
      </w:r>
    </w:p>
  </w:endnote>
  <w:endnote w:type="continuationSeparator" w:id="0">
    <w:p w:rsidR="00C14ADA" w:rsidRDefault="00C14ADA" w:rsidP="00587F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DA" w:rsidRDefault="00C14ADA" w:rsidP="00587FFA">
      <w:r>
        <w:separator/>
      </w:r>
    </w:p>
  </w:footnote>
  <w:footnote w:type="continuationSeparator" w:id="0">
    <w:p w:rsidR="00C14ADA" w:rsidRDefault="00C14ADA" w:rsidP="00587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DA" w:rsidRDefault="00C14ADA">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FFA"/>
    <w:rsid w:val="00075DD8"/>
    <w:rsid w:val="0008165A"/>
    <w:rsid w:val="003E2739"/>
    <w:rsid w:val="004C6B74"/>
    <w:rsid w:val="004D42A7"/>
    <w:rsid w:val="00520D21"/>
    <w:rsid w:val="0057484D"/>
    <w:rsid w:val="00587FFA"/>
    <w:rsid w:val="006041B3"/>
    <w:rsid w:val="007004C6"/>
    <w:rsid w:val="00802B6A"/>
    <w:rsid w:val="00833982"/>
    <w:rsid w:val="008C3E22"/>
    <w:rsid w:val="009532B8"/>
    <w:rsid w:val="00A55E65"/>
    <w:rsid w:val="00A62E3B"/>
    <w:rsid w:val="00A9133A"/>
    <w:rsid w:val="00C14ADA"/>
    <w:rsid w:val="00EC7E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F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7FF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587FFA"/>
    <w:rPr>
      <w:sz w:val="18"/>
      <w:szCs w:val="18"/>
    </w:rPr>
  </w:style>
  <w:style w:type="paragraph" w:styleId="Footer">
    <w:name w:val="footer"/>
    <w:basedOn w:val="Normal"/>
    <w:link w:val="FooterChar"/>
    <w:uiPriority w:val="99"/>
    <w:semiHidden/>
    <w:rsid w:val="00587FFA"/>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587F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206</Words>
  <Characters>1175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4</cp:revision>
  <dcterms:created xsi:type="dcterms:W3CDTF">2014-03-28T02:21:00Z</dcterms:created>
  <dcterms:modified xsi:type="dcterms:W3CDTF">2014-05-13T06:08:00Z</dcterms:modified>
</cp:coreProperties>
</file>