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568" w:tblpY="319"/>
        <w:tblOverlap w:val="never"/>
        <w:tblW w:w="14629" w:type="dxa"/>
        <w:tblInd w:w="0" w:type="dxa"/>
        <w:tblLayout w:type="fixed"/>
        <w:tblCellMar>
          <w:top w:w="0" w:type="dxa"/>
          <w:left w:w="108" w:type="dxa"/>
          <w:bottom w:w="0" w:type="dxa"/>
          <w:right w:w="108" w:type="dxa"/>
        </w:tblCellMar>
      </w:tblPr>
      <w:tblGrid>
        <w:gridCol w:w="710"/>
        <w:gridCol w:w="1417"/>
        <w:gridCol w:w="2268"/>
        <w:gridCol w:w="1559"/>
        <w:gridCol w:w="4962"/>
        <w:gridCol w:w="2268"/>
        <w:gridCol w:w="1320"/>
        <w:gridCol w:w="125"/>
      </w:tblGrid>
      <w:tr>
        <w:tblPrEx>
          <w:tblLayout w:type="fixed"/>
          <w:tblCellMar>
            <w:top w:w="0" w:type="dxa"/>
            <w:left w:w="108" w:type="dxa"/>
            <w:bottom w:w="0" w:type="dxa"/>
            <w:right w:w="108" w:type="dxa"/>
          </w:tblCellMar>
        </w:tblPrEx>
        <w:trPr>
          <w:gridAfter w:val="1"/>
          <w:wAfter w:w="125" w:type="dxa"/>
          <w:trHeight w:val="1035" w:hRule="atLeast"/>
        </w:trPr>
        <w:tc>
          <w:tcPr>
            <w:tcW w:w="14504" w:type="dxa"/>
            <w:gridSpan w:val="7"/>
            <w:tcBorders>
              <w:top w:val="nil"/>
              <w:left w:val="nil"/>
              <w:bottom w:val="single" w:color="auto" w:sz="4" w:space="0"/>
              <w:right w:val="nil"/>
            </w:tcBorders>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方正小标宋简体" w:hAnsi="宋体" w:eastAsia="方正小标宋简体" w:cs="宋体"/>
                <w:color w:val="auto"/>
                <w:kern w:val="0"/>
                <w:sz w:val="48"/>
                <w:szCs w:val="48"/>
                <w:highlight w:val="none"/>
              </w:rPr>
            </w:pPr>
            <w:r>
              <w:rPr>
                <w:color w:val="auto"/>
                <w:highlight w:val="none"/>
              </w:rPr>
              <w:pict>
                <v:shape id="_x0000_s1052" o:spid="_x0000_s1052" o:spt="202" type="#_x0000_t202" style="position:absolute;left:0pt;margin-left:-55.5pt;margin-top:-0.5pt;height:79.45pt;width:43.5pt;z-index:251650048;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p>
                    </w:txbxContent>
                  </v:textbox>
                </v:shape>
              </w:pict>
            </w:r>
            <w:r>
              <w:rPr>
                <w:rFonts w:hint="eastAsia" w:ascii="方正小标宋简体" w:hAnsi="宋体" w:eastAsia="方正小标宋简体" w:cs="宋体"/>
                <w:color w:val="auto"/>
                <w:kern w:val="0"/>
                <w:sz w:val="48"/>
                <w:szCs w:val="48"/>
                <w:highlight w:val="none"/>
              </w:rPr>
              <w:t>石家庄市鹿泉区政府部门保留的行政许可中介服务事项汇总清单</w:t>
            </w:r>
            <w:r>
              <w:rPr>
                <w:rFonts w:ascii="方正小标宋简体" w:hAnsi="宋体" w:eastAsia="方正小标宋简体" w:cs="宋体"/>
                <w:color w:val="auto"/>
                <w:kern w:val="0"/>
                <w:sz w:val="48"/>
                <w:szCs w:val="48"/>
                <w:highlight w:val="none"/>
              </w:rPr>
              <w:t xml:space="preserve">    </w:t>
            </w:r>
            <w:r>
              <w:rPr>
                <w:rFonts w:hint="eastAsia" w:ascii="仿宋" w:hAnsi="仿宋" w:eastAsia="仿宋" w:cs="仿宋"/>
                <w:color w:val="auto"/>
                <w:kern w:val="0"/>
                <w:sz w:val="32"/>
                <w:szCs w:val="32"/>
                <w:highlight w:val="none"/>
              </w:rPr>
              <w:t>（共6</w:t>
            </w:r>
            <w:r>
              <w:rPr>
                <w:rFonts w:hint="eastAsia" w:ascii="仿宋" w:hAnsi="仿宋" w:eastAsia="仿宋" w:cs="仿宋"/>
                <w:color w:val="auto"/>
                <w:kern w:val="0"/>
                <w:sz w:val="32"/>
                <w:szCs w:val="32"/>
                <w:highlight w:val="none"/>
                <w:lang w:val="en-US" w:eastAsia="zh-CN"/>
              </w:rPr>
              <w:t>8</w:t>
            </w:r>
            <w:r>
              <w:rPr>
                <w:rFonts w:hint="eastAsia" w:ascii="仿宋" w:hAnsi="仿宋" w:eastAsia="仿宋" w:cs="仿宋"/>
                <w:color w:val="auto"/>
                <w:kern w:val="0"/>
                <w:sz w:val="32"/>
                <w:szCs w:val="32"/>
                <w:highlight w:val="none"/>
              </w:rPr>
              <w:t>项）</w:t>
            </w:r>
          </w:p>
        </w:tc>
      </w:tr>
      <w:tr>
        <w:tblPrEx>
          <w:tblLayout w:type="fixed"/>
          <w:tblCellMar>
            <w:top w:w="0" w:type="dxa"/>
            <w:left w:w="108" w:type="dxa"/>
            <w:bottom w:w="0" w:type="dxa"/>
            <w:right w:w="108" w:type="dxa"/>
          </w:tblCellMar>
        </w:tblPrEx>
        <w:trPr>
          <w:gridAfter w:val="1"/>
          <w:wAfter w:w="125" w:type="dxa"/>
          <w:trHeight w:val="9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序号</w:t>
            </w:r>
          </w:p>
        </w:tc>
        <w:tc>
          <w:tcPr>
            <w:tcW w:w="1417" w:type="dxa"/>
            <w:tcBorders>
              <w:top w:val="nil"/>
              <w:left w:val="nil"/>
              <w:bottom w:val="single" w:color="auto" w:sz="4" w:space="0"/>
              <w:right w:val="single" w:color="auto" w:sz="4" w:space="0"/>
            </w:tcBorders>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行政审批事项名称</w:t>
            </w:r>
          </w:p>
        </w:tc>
        <w:tc>
          <w:tcPr>
            <w:tcW w:w="2268" w:type="dxa"/>
            <w:tcBorders>
              <w:top w:val="nil"/>
              <w:left w:val="nil"/>
              <w:bottom w:val="single" w:color="auto" w:sz="4" w:space="0"/>
              <w:right w:val="single" w:color="auto" w:sz="4" w:space="0"/>
            </w:tcBorders>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中介服务事项名称</w:t>
            </w:r>
          </w:p>
        </w:tc>
        <w:tc>
          <w:tcPr>
            <w:tcW w:w="1559" w:type="dxa"/>
            <w:tcBorders>
              <w:top w:val="nil"/>
              <w:left w:val="nil"/>
              <w:bottom w:val="single" w:color="auto" w:sz="4" w:space="0"/>
              <w:right w:val="single" w:color="auto" w:sz="4" w:space="0"/>
            </w:tcBorders>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部门名称</w:t>
            </w:r>
          </w:p>
        </w:tc>
        <w:tc>
          <w:tcPr>
            <w:tcW w:w="4962" w:type="dxa"/>
            <w:tcBorders>
              <w:top w:val="nil"/>
              <w:left w:val="nil"/>
              <w:bottom w:val="single" w:color="auto" w:sz="4" w:space="0"/>
              <w:right w:val="single" w:color="auto" w:sz="4" w:space="0"/>
            </w:tcBorders>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中介服务设定依据</w:t>
            </w:r>
          </w:p>
        </w:tc>
        <w:tc>
          <w:tcPr>
            <w:tcW w:w="2268" w:type="dxa"/>
            <w:tcBorders>
              <w:top w:val="nil"/>
              <w:left w:val="nil"/>
              <w:bottom w:val="single" w:color="auto" w:sz="4" w:space="0"/>
              <w:right w:val="single" w:color="auto" w:sz="4" w:space="0"/>
            </w:tcBorders>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中介服务实施机构</w:t>
            </w:r>
          </w:p>
        </w:tc>
        <w:tc>
          <w:tcPr>
            <w:tcW w:w="1320" w:type="dxa"/>
            <w:tcBorders>
              <w:top w:val="nil"/>
              <w:left w:val="nil"/>
              <w:bottom w:val="single" w:color="auto" w:sz="4" w:space="0"/>
              <w:right w:val="single" w:color="auto" w:sz="4" w:space="0"/>
            </w:tcBorders>
            <w:vAlign w:val="center"/>
          </w:tcPr>
          <w:p>
            <w:pPr>
              <w:widowControl/>
              <w:jc w:val="center"/>
              <w:rPr>
                <w:rFonts w:ascii="宋体" w:cs="宋体"/>
                <w:b/>
                <w:bCs/>
                <w:color w:val="auto"/>
                <w:kern w:val="0"/>
                <w:sz w:val="24"/>
                <w:highlight w:val="none"/>
              </w:rPr>
            </w:pPr>
            <w:r>
              <w:rPr>
                <w:rFonts w:hint="eastAsia" w:ascii="宋体" w:hAnsi="宋体" w:cs="宋体"/>
                <w:b/>
                <w:bCs/>
                <w:color w:val="auto"/>
                <w:kern w:val="0"/>
                <w:sz w:val="24"/>
                <w:highlight w:val="none"/>
              </w:rPr>
              <w:t>备注</w:t>
            </w:r>
          </w:p>
        </w:tc>
      </w:tr>
      <w:tr>
        <w:tblPrEx>
          <w:tblLayout w:type="fixed"/>
          <w:tblCellMar>
            <w:top w:w="0" w:type="dxa"/>
            <w:left w:w="108" w:type="dxa"/>
            <w:bottom w:w="0" w:type="dxa"/>
            <w:right w:w="108" w:type="dxa"/>
          </w:tblCellMar>
        </w:tblPrEx>
        <w:trPr>
          <w:gridAfter w:val="1"/>
          <w:wAfter w:w="125" w:type="dxa"/>
          <w:trHeight w:val="189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w:t>
            </w:r>
          </w:p>
        </w:tc>
        <w:tc>
          <w:tcPr>
            <w:tcW w:w="1417"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固定资产投资项目节能评估和审查</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编写节能专项报告</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w:t>
            </w:r>
            <w:r>
              <w:rPr>
                <w:rFonts w:hint="eastAsia" w:ascii="仿宋_GB2312" w:hAnsi="宋体" w:eastAsia="仿宋_GB2312" w:cs="宋体"/>
                <w:color w:val="auto"/>
                <w:kern w:val="0"/>
                <w:sz w:val="20"/>
                <w:szCs w:val="20"/>
                <w:highlight w:val="none"/>
              </w:rPr>
              <w:t>《中华人民共和国节约能源法》第十五条；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《国务院关于加强节能工作的决定》（国发〔</w:t>
            </w:r>
            <w:r>
              <w:rPr>
                <w:rFonts w:ascii="仿宋_GB2312" w:hAnsi="宋体" w:eastAsia="仿宋_GB2312" w:cs="宋体"/>
                <w:color w:val="auto"/>
                <w:kern w:val="0"/>
                <w:sz w:val="20"/>
                <w:szCs w:val="20"/>
                <w:highlight w:val="none"/>
              </w:rPr>
              <w:t>2006</w:t>
            </w:r>
            <w:r>
              <w:rPr>
                <w:rFonts w:hint="eastAsia" w:ascii="仿宋_GB2312" w:hAnsi="宋体" w:eastAsia="仿宋_GB2312" w:cs="宋体"/>
                <w:color w:val="auto"/>
                <w:kern w:val="0"/>
                <w:sz w:val="20"/>
                <w:szCs w:val="20"/>
                <w:highlight w:val="none"/>
              </w:rPr>
              <w:t>〕</w:t>
            </w:r>
            <w:r>
              <w:rPr>
                <w:rFonts w:ascii="仿宋_GB2312" w:hAnsi="宋体" w:eastAsia="仿宋_GB2312" w:cs="宋体"/>
                <w:color w:val="auto"/>
                <w:kern w:val="0"/>
                <w:sz w:val="20"/>
                <w:szCs w:val="20"/>
                <w:highlight w:val="none"/>
              </w:rPr>
              <w:t>28</w:t>
            </w:r>
            <w:r>
              <w:rPr>
                <w:rFonts w:hint="eastAsia" w:ascii="仿宋_GB2312" w:hAnsi="宋体" w:eastAsia="仿宋_GB2312" w:cs="宋体"/>
                <w:color w:val="auto"/>
                <w:kern w:val="0"/>
                <w:sz w:val="20"/>
                <w:szCs w:val="20"/>
                <w:highlight w:val="none"/>
              </w:rPr>
              <w:t>号）；</w:t>
            </w:r>
            <w:r>
              <w:rPr>
                <w:rFonts w:ascii="仿宋_GB2312" w:hAnsi="宋体" w:eastAsia="仿宋_GB2312" w:cs="宋体"/>
                <w:color w:val="auto"/>
                <w:kern w:val="0"/>
                <w:sz w:val="20"/>
                <w:szCs w:val="20"/>
                <w:highlight w:val="none"/>
              </w:rPr>
              <w:t>3.</w:t>
            </w:r>
            <w:r>
              <w:rPr>
                <w:rFonts w:hint="eastAsia" w:ascii="仿宋_GB2312" w:hAnsi="宋体" w:eastAsia="仿宋_GB2312" w:cs="宋体"/>
                <w:color w:val="auto"/>
                <w:kern w:val="0"/>
                <w:sz w:val="20"/>
                <w:szCs w:val="20"/>
                <w:highlight w:val="none"/>
              </w:rPr>
              <w:t>《固定资产投资项目节能审查办法》（国家发改委令第</w:t>
            </w:r>
            <w:r>
              <w:rPr>
                <w:rFonts w:ascii="仿宋_GB2312" w:hAnsi="宋体" w:eastAsia="仿宋_GB2312" w:cs="宋体"/>
                <w:color w:val="auto"/>
                <w:kern w:val="0"/>
                <w:sz w:val="20"/>
                <w:szCs w:val="20"/>
                <w:highlight w:val="none"/>
              </w:rPr>
              <w:t>44</w:t>
            </w:r>
            <w:r>
              <w:rPr>
                <w:rFonts w:hint="eastAsia" w:ascii="仿宋_GB2312" w:hAnsi="宋体" w:eastAsia="仿宋_GB2312" w:cs="宋体"/>
                <w:color w:val="auto"/>
                <w:kern w:val="0"/>
                <w:sz w:val="20"/>
                <w:szCs w:val="20"/>
                <w:highlight w:val="none"/>
              </w:rPr>
              <w:t>号）第七条；</w:t>
            </w:r>
            <w:r>
              <w:rPr>
                <w:rFonts w:ascii="仿宋_GB2312" w:hAnsi="宋体" w:eastAsia="仿宋_GB2312" w:cs="宋体"/>
                <w:color w:val="auto"/>
                <w:kern w:val="0"/>
                <w:sz w:val="20"/>
                <w:szCs w:val="20"/>
                <w:highlight w:val="none"/>
              </w:rPr>
              <w:t>4.</w:t>
            </w:r>
            <w:r>
              <w:rPr>
                <w:rFonts w:hint="eastAsia" w:ascii="仿宋_GB2312" w:hAnsi="宋体" w:eastAsia="仿宋_GB2312" w:cs="宋体"/>
                <w:color w:val="auto"/>
                <w:kern w:val="0"/>
                <w:sz w:val="20"/>
                <w:szCs w:val="20"/>
                <w:highlight w:val="none"/>
              </w:rPr>
              <w:t>《河北省人民政府办公厅关于印发</w:t>
            </w:r>
            <w:r>
              <w:rPr>
                <w:rFonts w:ascii="仿宋_GB2312" w:hAnsi="宋体" w:eastAsia="仿宋_GB2312" w:cs="宋体"/>
                <w:color w:val="auto"/>
                <w:kern w:val="0"/>
                <w:sz w:val="20"/>
                <w:szCs w:val="20"/>
                <w:highlight w:val="none"/>
              </w:rPr>
              <w:t>&lt;</w:t>
            </w:r>
            <w:r>
              <w:rPr>
                <w:rFonts w:hint="eastAsia" w:ascii="仿宋_GB2312" w:hAnsi="宋体" w:eastAsia="仿宋_GB2312" w:cs="宋体"/>
                <w:color w:val="auto"/>
                <w:kern w:val="0"/>
                <w:sz w:val="20"/>
                <w:szCs w:val="20"/>
                <w:highlight w:val="none"/>
              </w:rPr>
              <w:t>河北省</w:t>
            </w:r>
            <w:bookmarkStart w:id="0" w:name="_GoBack"/>
            <w:bookmarkEnd w:id="0"/>
            <w:r>
              <w:rPr>
                <w:rFonts w:hint="eastAsia" w:ascii="仿宋_GB2312" w:hAnsi="宋体" w:eastAsia="仿宋_GB2312" w:cs="宋体"/>
                <w:color w:val="auto"/>
                <w:kern w:val="0"/>
                <w:sz w:val="20"/>
                <w:szCs w:val="20"/>
                <w:highlight w:val="none"/>
              </w:rPr>
              <w:t>固定资产投资项目节能审查办法</w:t>
            </w:r>
            <w:r>
              <w:rPr>
                <w:rFonts w:ascii="仿宋_GB2312" w:hAnsi="宋体" w:eastAsia="仿宋_GB2312" w:cs="宋体"/>
                <w:color w:val="auto"/>
                <w:kern w:val="0"/>
                <w:sz w:val="20"/>
                <w:szCs w:val="20"/>
                <w:highlight w:val="none"/>
              </w:rPr>
              <w:t>&gt;</w:t>
            </w:r>
            <w:r>
              <w:rPr>
                <w:rFonts w:hint="eastAsia" w:ascii="仿宋_GB2312" w:hAnsi="宋体" w:eastAsia="仿宋_GB2312" w:cs="宋体"/>
                <w:color w:val="auto"/>
                <w:kern w:val="0"/>
                <w:sz w:val="20"/>
                <w:szCs w:val="20"/>
                <w:highlight w:val="none"/>
              </w:rPr>
              <w:t>的通知》（冀政办</w:t>
            </w:r>
            <w:r>
              <w:rPr>
                <w:rFonts w:hint="eastAsia" w:ascii="仿宋_GB2312" w:hAnsi="宋体" w:eastAsia="仿宋_GB2312" w:cs="宋体"/>
                <w:color w:val="auto"/>
                <w:kern w:val="0"/>
                <w:sz w:val="20"/>
                <w:szCs w:val="20"/>
                <w:highlight w:val="none"/>
                <w:lang w:eastAsia="zh-CN"/>
              </w:rPr>
              <w:t>字</w:t>
            </w:r>
            <w:r>
              <w:rPr>
                <w:rFonts w:hint="eastAsia" w:ascii="仿宋_GB2312" w:hAnsi="宋体" w:eastAsia="仿宋_GB2312" w:cs="宋体"/>
                <w:color w:val="auto"/>
                <w:kern w:val="0"/>
                <w:sz w:val="20"/>
                <w:szCs w:val="20"/>
                <w:highlight w:val="none"/>
              </w:rPr>
              <w:t>〔</w:t>
            </w:r>
            <w:r>
              <w:rPr>
                <w:rFonts w:ascii="仿宋_GB2312" w:hAnsi="宋体" w:eastAsia="仿宋_GB2312" w:cs="宋体"/>
                <w:color w:val="auto"/>
                <w:kern w:val="0"/>
                <w:sz w:val="20"/>
                <w:szCs w:val="20"/>
                <w:highlight w:val="none"/>
              </w:rPr>
              <w:t>20</w:t>
            </w:r>
            <w:r>
              <w:rPr>
                <w:rFonts w:hint="eastAsia" w:ascii="仿宋_GB2312" w:hAnsi="宋体" w:eastAsia="仿宋_GB2312" w:cs="宋体"/>
                <w:color w:val="auto"/>
                <w:kern w:val="0"/>
                <w:sz w:val="20"/>
                <w:szCs w:val="20"/>
                <w:highlight w:val="none"/>
                <w:lang w:val="en-US" w:eastAsia="zh-CN"/>
              </w:rPr>
              <w:t>17</w:t>
            </w:r>
            <w:r>
              <w:rPr>
                <w:rFonts w:hint="eastAsia" w:ascii="仿宋_GB2312" w:hAnsi="宋体" w:eastAsia="仿宋_GB2312" w:cs="宋体"/>
                <w:color w:val="auto"/>
                <w:kern w:val="0"/>
                <w:sz w:val="20"/>
                <w:szCs w:val="20"/>
                <w:highlight w:val="none"/>
              </w:rPr>
              <w:t>〕</w:t>
            </w:r>
            <w:r>
              <w:rPr>
                <w:rFonts w:hint="eastAsia" w:ascii="仿宋_GB2312" w:hAnsi="宋体" w:eastAsia="仿宋_GB2312" w:cs="宋体"/>
                <w:color w:val="auto"/>
                <w:kern w:val="0"/>
                <w:sz w:val="20"/>
                <w:szCs w:val="20"/>
                <w:highlight w:val="none"/>
                <w:lang w:val="en-US" w:eastAsia="zh-CN"/>
              </w:rPr>
              <w:t>37</w:t>
            </w:r>
            <w:r>
              <w:rPr>
                <w:rFonts w:hint="eastAsia" w:ascii="仿宋_GB2312" w:hAnsi="宋体" w:eastAsia="仿宋_GB2312" w:cs="宋体"/>
                <w:color w:val="auto"/>
                <w:kern w:val="0"/>
                <w:sz w:val="20"/>
                <w:szCs w:val="20"/>
                <w:highlight w:val="none"/>
              </w:rPr>
              <w:t>号）第</w:t>
            </w:r>
            <w:r>
              <w:rPr>
                <w:rFonts w:hint="eastAsia" w:ascii="仿宋_GB2312" w:hAnsi="宋体" w:eastAsia="仿宋_GB2312" w:cs="宋体"/>
                <w:color w:val="auto"/>
                <w:kern w:val="0"/>
                <w:sz w:val="20"/>
                <w:szCs w:val="20"/>
                <w:highlight w:val="none"/>
                <w:lang w:eastAsia="zh-CN"/>
              </w:rPr>
              <w:t>七</w:t>
            </w:r>
            <w:r>
              <w:rPr>
                <w:rFonts w:hint="eastAsia" w:ascii="仿宋_GB2312" w:hAnsi="宋体" w:eastAsia="仿宋_GB2312" w:cs="宋体"/>
                <w:color w:val="auto"/>
                <w:kern w:val="0"/>
                <w:sz w:val="20"/>
                <w:szCs w:val="20"/>
                <w:highlight w:val="none"/>
              </w:rPr>
              <w:t>条</w:t>
            </w:r>
          </w:p>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s="宋体"/>
                <w:color w:val="auto"/>
                <w:kern w:val="0"/>
                <w:sz w:val="20"/>
                <w:szCs w:val="20"/>
                <w:highlight w:val="none"/>
              </w:rPr>
              <w:t>具有</w:t>
            </w:r>
            <w:r>
              <w:rPr>
                <w:rFonts w:hint="eastAsia" w:ascii="仿宋_GB2312" w:hAnsi="宋体" w:eastAsia="仿宋_GB2312" w:cs="宋体"/>
                <w:color w:val="auto"/>
                <w:kern w:val="0"/>
                <w:sz w:val="20"/>
                <w:szCs w:val="20"/>
                <w:highlight w:val="none"/>
                <w:lang w:eastAsia="zh-CN"/>
              </w:rPr>
              <w:t>相关能力的工程咨询单位</w:t>
            </w:r>
          </w:p>
        </w:tc>
        <w:tc>
          <w:tcPr>
            <w:tcW w:w="13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申请人可按要求自行编制节能评估文件，也可委托有关机构编制</w:t>
            </w:r>
          </w:p>
        </w:tc>
      </w:tr>
      <w:tr>
        <w:tblPrEx>
          <w:tblLayout w:type="fixed"/>
          <w:tblCellMar>
            <w:top w:w="0" w:type="dxa"/>
            <w:left w:w="108" w:type="dxa"/>
            <w:bottom w:w="0" w:type="dxa"/>
            <w:right w:w="108" w:type="dxa"/>
          </w:tblCellMar>
        </w:tblPrEx>
        <w:trPr>
          <w:gridAfter w:val="1"/>
          <w:wAfter w:w="125" w:type="dxa"/>
          <w:trHeight w:val="192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p>
          <w:p>
            <w:pPr>
              <w:widowControl/>
              <w:jc w:val="center"/>
              <w:rPr>
                <w:rFonts w:ascii="仿宋_GB2312" w:hAnsi="宋体" w:eastAsia="仿宋_GB2312" w:cs="宋体"/>
                <w:color w:val="auto"/>
                <w:kern w:val="0"/>
                <w:sz w:val="20"/>
                <w:szCs w:val="20"/>
                <w:highlight w:val="none"/>
              </w:rPr>
            </w:pPr>
          </w:p>
          <w:p>
            <w:pPr>
              <w:widowControl/>
              <w:jc w:val="center"/>
              <w:rPr>
                <w:rFonts w:ascii="仿宋_GB2312" w:hAnsi="宋体" w:eastAsia="仿宋_GB2312" w:cs="宋体"/>
                <w:color w:val="auto"/>
                <w:kern w:val="0"/>
                <w:sz w:val="20"/>
                <w:szCs w:val="20"/>
                <w:highlight w:val="none"/>
              </w:rPr>
            </w:pPr>
          </w:p>
          <w:p>
            <w:pPr>
              <w:widowControl/>
              <w:jc w:val="center"/>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2</w:t>
            </w:r>
          </w:p>
          <w:p>
            <w:pPr>
              <w:widowControl/>
              <w:jc w:val="center"/>
              <w:rPr>
                <w:rFonts w:ascii="仿宋_GB2312" w:hAnsi="宋体" w:eastAsia="仿宋_GB2312" w:cs="宋体"/>
                <w:color w:val="auto"/>
                <w:kern w:val="0"/>
                <w:sz w:val="20"/>
                <w:szCs w:val="20"/>
                <w:highlight w:val="none"/>
              </w:rPr>
            </w:pPr>
          </w:p>
          <w:p>
            <w:pPr>
              <w:widowControl/>
              <w:jc w:val="center"/>
              <w:rPr>
                <w:rFonts w:ascii="仿宋_GB2312" w:hAnsi="宋体" w:eastAsia="仿宋_GB2312" w:cs="宋体"/>
                <w:color w:val="auto"/>
                <w:kern w:val="0"/>
                <w:sz w:val="20"/>
                <w:szCs w:val="20"/>
                <w:highlight w:val="none"/>
              </w:rPr>
            </w:pPr>
          </w:p>
          <w:p>
            <w:pPr>
              <w:widowControl/>
              <w:jc w:val="both"/>
              <w:rPr>
                <w:rFonts w:ascii="仿宋_GB2312" w:hAnsi="宋体" w:eastAsia="仿宋_GB2312" w:cs="宋体"/>
                <w:color w:val="auto"/>
                <w:kern w:val="0"/>
                <w:sz w:val="20"/>
                <w:szCs w:val="20"/>
                <w:highlight w:val="none"/>
              </w:rPr>
            </w:pP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rPr>
            </w:pPr>
          </w:p>
          <w:p>
            <w:pPr>
              <w:widowControl/>
              <w:jc w:val="center"/>
              <w:rPr>
                <w:rFonts w:hint="eastAsia" w:ascii="仿宋_GB2312" w:hAnsi="宋体" w:eastAsia="仿宋_GB2312" w:cs="宋体"/>
                <w:color w:val="auto"/>
                <w:kern w:val="0"/>
                <w:sz w:val="20"/>
                <w:szCs w:val="20"/>
                <w:highlight w:val="none"/>
              </w:rPr>
            </w:pPr>
          </w:p>
          <w:p>
            <w:pPr>
              <w:widowControl/>
              <w:jc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固定资产投资项目节能评估报告评审</w:t>
            </w:r>
          </w:p>
          <w:p>
            <w:pPr>
              <w:widowControl/>
              <w:jc w:val="center"/>
              <w:rPr>
                <w:rFonts w:hint="eastAsia" w:ascii="仿宋_GB2312" w:hAnsi="宋体" w:eastAsia="仿宋_GB2312" w:cs="宋体"/>
                <w:color w:val="auto"/>
                <w:kern w:val="0"/>
                <w:sz w:val="20"/>
                <w:szCs w:val="20"/>
                <w:highlight w:val="none"/>
              </w:rPr>
            </w:pPr>
          </w:p>
          <w:p>
            <w:pPr>
              <w:widowControl/>
              <w:jc w:val="center"/>
              <w:rPr>
                <w:rFonts w:hint="eastAsia" w:ascii="仿宋_GB2312" w:hAnsi="宋体" w:eastAsia="仿宋_GB2312" w:cs="宋体"/>
                <w:color w:val="auto"/>
                <w:kern w:val="0"/>
                <w:sz w:val="20"/>
                <w:szCs w:val="20"/>
                <w:highlight w:val="none"/>
              </w:rPr>
            </w:pP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nil"/>
              <w:bottom w:val="single" w:color="auto" w:sz="4" w:space="0"/>
              <w:right w:val="single" w:color="auto" w:sz="4" w:space="0"/>
            </w:tcBorders>
            <w:vAlign w:val="center"/>
          </w:tcPr>
          <w:p>
            <w:pPr>
              <w:widowControl/>
              <w:numPr>
                <w:ilvl w:val="0"/>
                <w:numId w:val="0"/>
              </w:numPr>
              <w:jc w:val="left"/>
              <w:rPr>
                <w:rFonts w:hint="eastAsia" w:ascii="仿宋_GB2312" w:hAnsi="宋体" w:eastAsia="仿宋_GB2312" w:cs="宋体"/>
                <w:color w:val="auto"/>
                <w:kern w:val="0"/>
                <w:sz w:val="20"/>
                <w:szCs w:val="20"/>
                <w:highlight w:val="none"/>
                <w:lang w:val="en-US" w:eastAsia="zh-CN"/>
              </w:rPr>
            </w:pPr>
          </w:p>
          <w:p>
            <w:pPr>
              <w:widowControl/>
              <w:numPr>
                <w:ilvl w:val="0"/>
                <w:numId w:val="0"/>
              </w:numPr>
              <w:jc w:val="left"/>
              <w:rPr>
                <w:rFonts w:hint="eastAsia" w:ascii="仿宋_GB2312" w:hAnsi="宋体" w:eastAsia="仿宋_GB2312" w:cs="宋体"/>
                <w:color w:val="auto"/>
                <w:kern w:val="0"/>
                <w:sz w:val="20"/>
                <w:szCs w:val="20"/>
                <w:highlight w:val="none"/>
                <w:lang w:val="en-US" w:eastAsia="zh-CN"/>
              </w:rPr>
            </w:pPr>
          </w:p>
          <w:p>
            <w:pPr>
              <w:widowControl/>
              <w:numPr>
                <w:ilvl w:val="0"/>
                <w:numId w:val="0"/>
              </w:numPr>
              <w:jc w:val="left"/>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lang w:val="en-US" w:eastAsia="zh-CN"/>
              </w:rPr>
              <w:t>1.</w:t>
            </w:r>
            <w:r>
              <w:rPr>
                <w:rFonts w:hint="eastAsia" w:ascii="仿宋_GB2312" w:hAnsi="宋体" w:eastAsia="仿宋_GB2312" w:cs="宋体"/>
                <w:color w:val="auto"/>
                <w:kern w:val="0"/>
                <w:sz w:val="20"/>
                <w:szCs w:val="20"/>
                <w:highlight w:val="none"/>
              </w:rPr>
              <w:t>《固定资产投资项目节能审查办法》</w:t>
            </w:r>
            <w:r>
              <w:rPr>
                <w:rFonts w:hint="eastAsia" w:ascii="仿宋_GB2312" w:hAnsi="宋体" w:eastAsia="仿宋_GB2312" w:cs="宋体"/>
                <w:color w:val="auto"/>
                <w:kern w:val="0"/>
                <w:sz w:val="20"/>
                <w:szCs w:val="20"/>
                <w:highlight w:val="none"/>
              </w:rPr>
              <w:t>（国家发改委令第</w:t>
            </w:r>
            <w:r>
              <w:rPr>
                <w:rFonts w:ascii="仿宋_GB2312" w:hAnsi="宋体" w:eastAsia="仿宋_GB2312" w:cs="宋体"/>
                <w:color w:val="auto"/>
                <w:kern w:val="0"/>
                <w:sz w:val="20"/>
                <w:szCs w:val="20"/>
                <w:highlight w:val="none"/>
              </w:rPr>
              <w:t>44</w:t>
            </w:r>
            <w:r>
              <w:rPr>
                <w:rFonts w:hint="eastAsia" w:ascii="仿宋_GB2312" w:hAnsi="宋体" w:eastAsia="仿宋_GB2312" w:cs="宋体"/>
                <w:color w:val="auto"/>
                <w:kern w:val="0"/>
                <w:sz w:val="20"/>
                <w:szCs w:val="20"/>
                <w:highlight w:val="none"/>
              </w:rPr>
              <w:t>号）第八条</w:t>
            </w:r>
            <w:r>
              <w:rPr>
                <w:rFonts w:hint="eastAsia" w:ascii="仿宋_GB2312" w:hAnsi="宋体" w:eastAsia="仿宋_GB2312" w:cs="宋体"/>
                <w:color w:val="auto"/>
                <w:kern w:val="0"/>
                <w:sz w:val="20"/>
                <w:szCs w:val="20"/>
                <w:highlight w:val="none"/>
                <w:lang w:eastAsia="zh-CN"/>
              </w:rPr>
              <w:t>（</w:t>
            </w:r>
            <w:r>
              <w:rPr>
                <w:rFonts w:hint="eastAsia" w:ascii="仿宋_GB2312" w:hAnsi="宋体" w:eastAsia="仿宋_GB2312" w:cs="宋体"/>
                <w:color w:val="auto"/>
                <w:kern w:val="0"/>
                <w:sz w:val="20"/>
                <w:szCs w:val="20"/>
                <w:highlight w:val="none"/>
                <w:lang w:val="en-US" w:eastAsia="zh-CN"/>
              </w:rPr>
              <w:t>8</w:t>
            </w:r>
            <w:r>
              <w:rPr>
                <w:rFonts w:hint="eastAsia" w:ascii="仿宋_GB2312" w:hAnsi="宋体" w:eastAsia="仿宋_GB2312" w:cs="宋体"/>
                <w:color w:val="auto"/>
                <w:kern w:val="0"/>
                <w:sz w:val="20"/>
                <w:szCs w:val="20"/>
                <w:highlight w:val="none"/>
                <w:lang w:eastAsia="zh-CN"/>
              </w:rPr>
              <w:t>）</w:t>
            </w:r>
            <w:r>
              <w:rPr>
                <w:rFonts w:hint="eastAsia" w:ascii="仿宋_GB2312" w:hAnsi="宋体" w:eastAsia="仿宋_GB2312" w:cs="宋体"/>
                <w:color w:val="auto"/>
                <w:kern w:val="0"/>
                <w:sz w:val="20"/>
                <w:szCs w:val="20"/>
                <w:highlight w:val="none"/>
              </w:rPr>
              <w:t>；</w:t>
            </w:r>
            <w:r>
              <w:rPr>
                <w:rFonts w:hint="eastAsia" w:ascii="仿宋_GB2312" w:hAnsi="宋体" w:eastAsia="仿宋_GB2312" w:cs="宋体"/>
                <w:color w:val="auto"/>
                <w:kern w:val="0"/>
                <w:sz w:val="20"/>
                <w:szCs w:val="20"/>
                <w:highlight w:val="none"/>
                <w:lang w:val="en-US" w:eastAsia="zh-CN"/>
              </w:rPr>
              <w:t>2</w:t>
            </w:r>
            <w:r>
              <w:rPr>
                <w:rFonts w:ascii="仿宋_GB2312" w:hAnsi="宋体" w:eastAsia="仿宋_GB2312" w:cs="宋体"/>
                <w:color w:val="auto"/>
                <w:kern w:val="0"/>
                <w:sz w:val="20"/>
                <w:szCs w:val="20"/>
                <w:highlight w:val="none"/>
              </w:rPr>
              <w:t>.</w:t>
            </w:r>
            <w:r>
              <w:rPr>
                <w:rFonts w:hint="eastAsia" w:ascii="仿宋_GB2312" w:hAnsi="宋体" w:eastAsia="仿宋_GB2312" w:cs="宋体"/>
                <w:color w:val="auto"/>
                <w:kern w:val="0"/>
                <w:sz w:val="20"/>
                <w:szCs w:val="20"/>
                <w:highlight w:val="none"/>
              </w:rPr>
              <w:t>《河北省人民政府办公厅关于印发</w:t>
            </w:r>
            <w:r>
              <w:rPr>
                <w:rFonts w:ascii="仿宋_GB2312" w:hAnsi="宋体" w:eastAsia="仿宋_GB2312" w:cs="宋体"/>
                <w:color w:val="auto"/>
                <w:kern w:val="0"/>
                <w:sz w:val="20"/>
                <w:szCs w:val="20"/>
                <w:highlight w:val="none"/>
              </w:rPr>
              <w:t>&lt;</w:t>
            </w:r>
            <w:r>
              <w:rPr>
                <w:rFonts w:hint="eastAsia" w:ascii="仿宋_GB2312" w:hAnsi="宋体" w:eastAsia="仿宋_GB2312" w:cs="宋体"/>
                <w:color w:val="auto"/>
                <w:kern w:val="0"/>
                <w:sz w:val="20"/>
                <w:szCs w:val="20"/>
                <w:highlight w:val="none"/>
              </w:rPr>
              <w:t>河北省固定资产投资项目节能审查办法</w:t>
            </w:r>
            <w:r>
              <w:rPr>
                <w:rFonts w:ascii="仿宋_GB2312" w:hAnsi="宋体" w:eastAsia="仿宋_GB2312" w:cs="宋体"/>
                <w:color w:val="auto"/>
                <w:kern w:val="0"/>
                <w:sz w:val="20"/>
                <w:szCs w:val="20"/>
                <w:highlight w:val="none"/>
              </w:rPr>
              <w:t>&gt;</w:t>
            </w:r>
            <w:r>
              <w:rPr>
                <w:rFonts w:hint="eastAsia" w:ascii="仿宋_GB2312" w:hAnsi="宋体" w:eastAsia="仿宋_GB2312" w:cs="宋体"/>
                <w:color w:val="auto"/>
                <w:kern w:val="0"/>
                <w:sz w:val="20"/>
                <w:szCs w:val="20"/>
                <w:highlight w:val="none"/>
              </w:rPr>
              <w:t>的通知》（冀政办</w:t>
            </w:r>
            <w:r>
              <w:rPr>
                <w:rFonts w:hint="eastAsia" w:ascii="仿宋_GB2312" w:hAnsi="宋体" w:eastAsia="仿宋_GB2312" w:cs="宋体"/>
                <w:color w:val="auto"/>
                <w:kern w:val="0"/>
                <w:sz w:val="20"/>
                <w:szCs w:val="20"/>
                <w:highlight w:val="none"/>
                <w:lang w:eastAsia="zh-CN"/>
              </w:rPr>
              <w:t>字</w:t>
            </w:r>
            <w:r>
              <w:rPr>
                <w:rFonts w:hint="eastAsia" w:ascii="仿宋_GB2312" w:hAnsi="宋体" w:eastAsia="仿宋_GB2312" w:cs="宋体"/>
                <w:color w:val="auto"/>
                <w:kern w:val="0"/>
                <w:sz w:val="20"/>
                <w:szCs w:val="20"/>
                <w:highlight w:val="none"/>
              </w:rPr>
              <w:t>〔</w:t>
            </w:r>
            <w:r>
              <w:rPr>
                <w:rFonts w:ascii="仿宋_GB2312" w:hAnsi="宋体" w:eastAsia="仿宋_GB2312" w:cs="宋体"/>
                <w:color w:val="auto"/>
                <w:kern w:val="0"/>
                <w:sz w:val="20"/>
                <w:szCs w:val="20"/>
                <w:highlight w:val="none"/>
              </w:rPr>
              <w:t>20</w:t>
            </w:r>
            <w:r>
              <w:rPr>
                <w:rFonts w:hint="eastAsia" w:ascii="仿宋_GB2312" w:hAnsi="宋体" w:eastAsia="仿宋_GB2312" w:cs="宋体"/>
                <w:color w:val="auto"/>
                <w:kern w:val="0"/>
                <w:sz w:val="20"/>
                <w:szCs w:val="20"/>
                <w:highlight w:val="none"/>
                <w:lang w:val="en-US" w:eastAsia="zh-CN"/>
              </w:rPr>
              <w:t>17</w:t>
            </w:r>
            <w:r>
              <w:rPr>
                <w:rFonts w:hint="eastAsia" w:ascii="仿宋_GB2312" w:hAnsi="宋体" w:eastAsia="仿宋_GB2312" w:cs="宋体"/>
                <w:color w:val="auto"/>
                <w:kern w:val="0"/>
                <w:sz w:val="20"/>
                <w:szCs w:val="20"/>
                <w:highlight w:val="none"/>
              </w:rPr>
              <w:t>〕</w:t>
            </w:r>
            <w:r>
              <w:rPr>
                <w:rFonts w:hint="eastAsia" w:ascii="仿宋_GB2312" w:hAnsi="宋体" w:eastAsia="仿宋_GB2312" w:cs="宋体"/>
                <w:color w:val="auto"/>
                <w:kern w:val="0"/>
                <w:sz w:val="20"/>
                <w:szCs w:val="20"/>
                <w:highlight w:val="none"/>
                <w:lang w:val="en-US" w:eastAsia="zh-CN"/>
              </w:rPr>
              <w:t>37</w:t>
            </w:r>
            <w:r>
              <w:rPr>
                <w:rFonts w:hint="eastAsia" w:ascii="仿宋_GB2312" w:hAnsi="宋体" w:eastAsia="仿宋_GB2312" w:cs="宋体"/>
                <w:color w:val="auto"/>
                <w:kern w:val="0"/>
                <w:sz w:val="20"/>
                <w:szCs w:val="20"/>
                <w:highlight w:val="none"/>
              </w:rPr>
              <w:t>号）第</w:t>
            </w:r>
            <w:r>
              <w:rPr>
                <w:rFonts w:hint="eastAsia" w:ascii="仿宋_GB2312" w:hAnsi="宋体" w:eastAsia="仿宋_GB2312" w:cs="宋体"/>
                <w:color w:val="auto"/>
                <w:kern w:val="0"/>
                <w:sz w:val="20"/>
                <w:szCs w:val="20"/>
                <w:highlight w:val="none"/>
                <w:lang w:eastAsia="zh-CN"/>
              </w:rPr>
              <w:t>八</w:t>
            </w:r>
            <w:r>
              <w:rPr>
                <w:rFonts w:hint="eastAsia" w:ascii="仿宋_GB2312" w:hAnsi="宋体" w:eastAsia="仿宋_GB2312" w:cs="宋体"/>
                <w:color w:val="auto"/>
                <w:kern w:val="0"/>
                <w:sz w:val="20"/>
                <w:szCs w:val="20"/>
                <w:highlight w:val="none"/>
              </w:rPr>
              <w:t>条</w:t>
            </w:r>
          </w:p>
          <w:p>
            <w:pPr>
              <w:widowControl/>
              <w:numPr>
                <w:ilvl w:val="0"/>
                <w:numId w:val="0"/>
              </w:numPr>
              <w:jc w:val="left"/>
              <w:rPr>
                <w:rFonts w:hint="eastAsia" w:ascii="仿宋_GB2312" w:hAnsi="宋体" w:eastAsia="仿宋_GB2312" w:cs="宋体"/>
                <w:color w:val="auto"/>
                <w:kern w:val="0"/>
                <w:sz w:val="20"/>
                <w:szCs w:val="20"/>
                <w:highlight w:val="none"/>
              </w:rPr>
            </w:pPr>
          </w:p>
          <w:p>
            <w:pPr>
              <w:widowControl/>
              <w:numPr>
                <w:ilvl w:val="0"/>
                <w:numId w:val="0"/>
              </w:numPr>
              <w:jc w:val="left"/>
              <w:rPr>
                <w:rFonts w:hint="eastAsia" w:ascii="仿宋_GB2312" w:hAnsi="宋体" w:eastAsia="仿宋_GB2312" w:cs="宋体"/>
                <w:color w:val="auto"/>
                <w:kern w:val="0"/>
                <w:sz w:val="20"/>
                <w:szCs w:val="20"/>
                <w:highlight w:val="none"/>
              </w:rPr>
            </w:pPr>
          </w:p>
          <w:p>
            <w:pPr>
              <w:widowControl/>
              <w:numPr>
                <w:ilvl w:val="0"/>
                <w:numId w:val="0"/>
              </w:numPr>
              <w:jc w:val="left"/>
              <w:rPr>
                <w:rFonts w:hint="eastAsia"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w:t>
            </w:r>
            <w:r>
              <w:rPr>
                <w:rFonts w:hint="eastAsia" w:ascii="仿宋_GB2312" w:hAnsi="宋体" w:eastAsia="仿宋_GB2312" w:cs="宋体"/>
                <w:color w:val="auto"/>
                <w:kern w:val="0"/>
                <w:sz w:val="20"/>
                <w:szCs w:val="20"/>
                <w:highlight w:val="none"/>
                <w:lang w:eastAsia="zh-CN"/>
              </w:rPr>
              <w:t>相关能力的工程咨询单位</w:t>
            </w:r>
          </w:p>
        </w:tc>
        <w:tc>
          <w:tcPr>
            <w:tcW w:w="1320"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纳入政府部门审批程序的技术性服务事项</w:t>
            </w:r>
          </w:p>
        </w:tc>
      </w:tr>
      <w:tr>
        <w:tblPrEx>
          <w:tblLayout w:type="fixed"/>
          <w:tblCellMar>
            <w:top w:w="0" w:type="dxa"/>
            <w:left w:w="108" w:type="dxa"/>
            <w:bottom w:w="0" w:type="dxa"/>
            <w:right w:w="108" w:type="dxa"/>
          </w:tblCellMar>
        </w:tblPrEx>
        <w:trPr>
          <w:trHeight w:val="166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3</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企业、事业单位、社会团体等投资建设的固定资产投资项目核准</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编制项目申请报告</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w:t>
            </w:r>
            <w:r>
              <w:rPr>
                <w:rFonts w:hint="eastAsia" w:ascii="仿宋_GB2312" w:hAnsi="宋体" w:eastAsia="仿宋_GB2312" w:cs="宋体"/>
                <w:color w:val="auto"/>
                <w:kern w:val="0"/>
                <w:sz w:val="20"/>
                <w:szCs w:val="20"/>
                <w:highlight w:val="none"/>
              </w:rPr>
              <w:t>、《国务院关于投资体制改革的决定》（国发</w:t>
            </w:r>
            <w:r>
              <w:rPr>
                <w:rFonts w:hint="eastAsia" w:ascii="宋体" w:hAnsi="宋体" w:cs="宋体"/>
                <w:color w:val="auto"/>
                <w:kern w:val="0"/>
                <w:sz w:val="20"/>
                <w:szCs w:val="20"/>
                <w:highlight w:val="none"/>
              </w:rPr>
              <w:t>﹝</w:t>
            </w:r>
            <w:r>
              <w:rPr>
                <w:rFonts w:ascii="仿宋_GB2312" w:hAnsi="宋体" w:eastAsia="仿宋_GB2312" w:cs="宋体"/>
                <w:color w:val="auto"/>
                <w:kern w:val="0"/>
                <w:sz w:val="20"/>
                <w:szCs w:val="20"/>
                <w:highlight w:val="none"/>
              </w:rPr>
              <w:t>2004</w:t>
            </w:r>
            <w:r>
              <w:rPr>
                <w:rFonts w:hint="eastAsia" w:ascii="宋体" w:hAnsi="宋体" w:cs="宋体"/>
                <w:color w:val="auto"/>
                <w:kern w:val="0"/>
                <w:sz w:val="20"/>
                <w:szCs w:val="20"/>
                <w:highlight w:val="none"/>
              </w:rPr>
              <w:t>﹞</w:t>
            </w:r>
            <w:r>
              <w:rPr>
                <w:rFonts w:ascii="仿宋_GB2312" w:hAnsi="宋体" w:eastAsia="仿宋_GB2312" w:cs="宋体"/>
                <w:color w:val="auto"/>
                <w:kern w:val="0"/>
                <w:sz w:val="20"/>
                <w:szCs w:val="20"/>
                <w:highlight w:val="none"/>
              </w:rPr>
              <w:t>20</w:t>
            </w:r>
            <w:r>
              <w:rPr>
                <w:rFonts w:hint="eastAsia" w:ascii="仿宋_GB2312" w:hAnsi="宋体" w:eastAsia="仿宋_GB2312" w:cs="宋体"/>
                <w:color w:val="auto"/>
                <w:kern w:val="0"/>
                <w:sz w:val="20"/>
                <w:szCs w:val="20"/>
                <w:highlight w:val="none"/>
              </w:rPr>
              <w:t>号）；</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、《企业投资项目核准和备案管理条例》第六条、第七条</w:t>
            </w:r>
            <w:r>
              <w:rPr>
                <w:rFonts w:ascii="仿宋_GB2312" w:hAnsi="宋体" w:eastAsia="仿宋_GB2312" w:cs="宋体"/>
                <w:color w:val="auto"/>
                <w:kern w:val="0"/>
                <w:sz w:val="20"/>
                <w:szCs w:val="20"/>
                <w:highlight w:val="none"/>
              </w:rPr>
              <w:t xml:space="preserve"> </w:t>
            </w:r>
            <w:r>
              <w:rPr>
                <w:rFonts w:hint="eastAsia" w:ascii="仿宋_GB2312" w:hAnsi="宋体" w:eastAsia="仿宋_GB2312" w:cs="宋体"/>
                <w:color w:val="auto"/>
                <w:kern w:val="0"/>
                <w:sz w:val="20"/>
                <w:szCs w:val="20"/>
                <w:highlight w:val="none"/>
              </w:rPr>
              <w:t>；</w:t>
            </w:r>
            <w:r>
              <w:rPr>
                <w:rFonts w:ascii="仿宋_GB2312" w:hAnsi="宋体" w:eastAsia="仿宋_GB2312" w:cs="宋体"/>
                <w:color w:val="auto"/>
                <w:kern w:val="0"/>
                <w:sz w:val="20"/>
                <w:szCs w:val="20"/>
                <w:highlight w:val="none"/>
              </w:rPr>
              <w:t>3</w:t>
            </w:r>
            <w:r>
              <w:rPr>
                <w:rFonts w:hint="eastAsia" w:ascii="仿宋_GB2312" w:hAnsi="宋体" w:eastAsia="仿宋_GB2312" w:cs="宋体"/>
                <w:color w:val="auto"/>
                <w:kern w:val="0"/>
                <w:sz w:val="20"/>
                <w:szCs w:val="20"/>
                <w:highlight w:val="none"/>
              </w:rPr>
              <w:t>、《</w:t>
            </w:r>
            <w:r>
              <w:rPr>
                <w:rFonts w:hint="eastAsia" w:ascii="仿宋_GB2312" w:hAnsi="宋体" w:eastAsia="仿宋_GB2312" w:cs="宋体"/>
                <w:color w:val="auto"/>
                <w:kern w:val="0"/>
                <w:sz w:val="20"/>
                <w:szCs w:val="20"/>
                <w:highlight w:val="none"/>
                <w:lang w:eastAsia="zh-CN"/>
              </w:rPr>
              <w:t>企业投资项目核准和备案管理办法</w:t>
            </w:r>
            <w:r>
              <w:rPr>
                <w:rFonts w:hint="eastAsia" w:ascii="仿宋_GB2312" w:hAnsi="宋体" w:eastAsia="仿宋_GB2312" w:cs="宋体"/>
                <w:color w:val="auto"/>
                <w:kern w:val="0"/>
                <w:sz w:val="20"/>
                <w:szCs w:val="20"/>
                <w:highlight w:val="none"/>
              </w:rPr>
              <w:t>》（国家发</w:t>
            </w:r>
            <w:r>
              <w:rPr>
                <w:rFonts w:hint="eastAsia" w:ascii="仿宋_GB2312" w:hAnsi="宋体" w:eastAsia="仿宋_GB2312" w:cs="宋体"/>
                <w:color w:val="auto"/>
                <w:kern w:val="0"/>
                <w:sz w:val="20"/>
                <w:szCs w:val="20"/>
                <w:highlight w:val="none"/>
                <w:lang w:eastAsia="zh-CN"/>
              </w:rPr>
              <w:t>改委令第</w:t>
            </w:r>
            <w:r>
              <w:rPr>
                <w:rFonts w:hint="eastAsia" w:ascii="仿宋_GB2312" w:hAnsi="宋体" w:eastAsia="仿宋_GB2312" w:cs="宋体"/>
                <w:color w:val="auto"/>
                <w:kern w:val="0"/>
                <w:sz w:val="20"/>
                <w:szCs w:val="20"/>
                <w:highlight w:val="none"/>
                <w:lang w:val="en-US" w:eastAsia="zh-CN"/>
              </w:rPr>
              <w:t>2号</w:t>
            </w:r>
            <w:r>
              <w:rPr>
                <w:rFonts w:hint="eastAsia" w:ascii="仿宋_GB2312" w:hAnsi="宋体" w:eastAsia="仿宋_GB2312" w:cs="宋体"/>
                <w:color w:val="auto"/>
                <w:kern w:val="0"/>
                <w:sz w:val="20"/>
                <w:szCs w:val="20"/>
                <w:highlight w:val="none"/>
              </w:rPr>
              <w:t>）第</w:t>
            </w:r>
            <w:r>
              <w:rPr>
                <w:rFonts w:hint="eastAsia" w:ascii="仿宋_GB2312" w:hAnsi="宋体" w:eastAsia="仿宋_GB2312" w:cs="宋体"/>
                <w:color w:val="auto"/>
                <w:kern w:val="0"/>
                <w:sz w:val="20"/>
                <w:szCs w:val="20"/>
                <w:highlight w:val="none"/>
                <w:lang w:eastAsia="zh-CN"/>
              </w:rPr>
              <w:t>二十一</w:t>
            </w:r>
            <w:r>
              <w:rPr>
                <w:rFonts w:hint="eastAsia" w:ascii="仿宋_GB2312" w:hAnsi="宋体" w:eastAsia="仿宋_GB2312" w:cs="宋体"/>
                <w:color w:val="auto"/>
                <w:kern w:val="0"/>
                <w:sz w:val="20"/>
                <w:szCs w:val="20"/>
                <w:highlight w:val="none"/>
              </w:rPr>
              <w:t>条</w:t>
            </w:r>
            <w:r>
              <w:rPr>
                <w:rFonts w:hint="eastAsia" w:ascii="仿宋_GB2312" w:hAnsi="宋体" w:eastAsia="仿宋_GB2312" w:cs="宋体"/>
                <w:color w:val="auto"/>
                <w:kern w:val="0"/>
                <w:sz w:val="20"/>
                <w:szCs w:val="20"/>
                <w:highlight w:val="none"/>
                <w:lang w:eastAsia="zh-CN"/>
              </w:rPr>
              <w:t>；</w:t>
            </w:r>
            <w:r>
              <w:rPr>
                <w:rFonts w:ascii="仿宋_GB2312" w:hAnsi="宋体" w:eastAsia="仿宋_GB2312" w:cs="宋体"/>
                <w:color w:val="auto"/>
                <w:kern w:val="0"/>
                <w:sz w:val="20"/>
                <w:szCs w:val="20"/>
                <w:highlight w:val="none"/>
              </w:rPr>
              <w:t>4</w:t>
            </w:r>
            <w:r>
              <w:rPr>
                <w:rFonts w:hint="eastAsia" w:ascii="仿宋_GB2312" w:hAnsi="宋体" w:eastAsia="仿宋_GB2312" w:cs="宋体"/>
                <w:color w:val="auto"/>
                <w:kern w:val="0"/>
                <w:sz w:val="20"/>
                <w:szCs w:val="20"/>
                <w:highlight w:val="none"/>
              </w:rPr>
              <w:t>、《河北省政府核准投资项目实施办法》（冀政</w:t>
            </w:r>
            <w:r>
              <w:rPr>
                <w:rFonts w:hint="eastAsia" w:ascii="宋体" w:hAnsi="宋体" w:cs="宋体"/>
                <w:color w:val="auto"/>
                <w:kern w:val="0"/>
                <w:sz w:val="20"/>
                <w:szCs w:val="20"/>
                <w:highlight w:val="none"/>
              </w:rPr>
              <w:t>﹝</w:t>
            </w:r>
            <w:r>
              <w:rPr>
                <w:rFonts w:ascii="仿宋_GB2312" w:hAnsi="宋体" w:eastAsia="仿宋_GB2312" w:cs="宋体"/>
                <w:color w:val="auto"/>
                <w:kern w:val="0"/>
                <w:sz w:val="20"/>
                <w:szCs w:val="20"/>
                <w:highlight w:val="none"/>
              </w:rPr>
              <w:t>2014</w:t>
            </w:r>
            <w:r>
              <w:rPr>
                <w:rFonts w:hint="eastAsia" w:ascii="宋体" w:hAnsi="宋体" w:cs="宋体"/>
                <w:color w:val="auto"/>
                <w:kern w:val="0"/>
                <w:sz w:val="20"/>
                <w:szCs w:val="20"/>
                <w:highlight w:val="none"/>
              </w:rPr>
              <w:t>﹞</w:t>
            </w:r>
            <w:r>
              <w:rPr>
                <w:rFonts w:ascii="仿宋_GB2312" w:hAnsi="宋体" w:eastAsia="仿宋_GB2312" w:cs="宋体"/>
                <w:color w:val="auto"/>
                <w:kern w:val="0"/>
                <w:sz w:val="20"/>
                <w:szCs w:val="20"/>
                <w:highlight w:val="none"/>
              </w:rPr>
              <w:t>120</w:t>
            </w:r>
            <w:r>
              <w:rPr>
                <w:rFonts w:hint="eastAsia" w:ascii="仿宋_GB2312" w:hAnsi="宋体" w:eastAsia="仿宋_GB2312" w:cs="宋体"/>
                <w:color w:val="auto"/>
                <w:kern w:val="0"/>
                <w:sz w:val="20"/>
                <w:szCs w:val="20"/>
                <w:highlight w:val="none"/>
              </w:rPr>
              <w:t>号）</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w:t>
            </w:r>
            <w:r>
              <w:rPr>
                <w:rFonts w:hint="eastAsia" w:ascii="仿宋_GB2312" w:hAnsi="宋体" w:eastAsia="仿宋_GB2312" w:cs="宋体"/>
                <w:color w:val="auto"/>
                <w:kern w:val="0"/>
                <w:sz w:val="20"/>
                <w:szCs w:val="20"/>
                <w:highlight w:val="none"/>
                <w:lang w:eastAsia="zh-CN"/>
              </w:rPr>
              <w:t>相关能力的工程咨询单位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s="宋体"/>
                <w:color w:val="auto"/>
                <w:kern w:val="0"/>
                <w:sz w:val="20"/>
                <w:szCs w:val="20"/>
                <w:highlight w:val="none"/>
                <w:lang w:eastAsia="zh-CN"/>
              </w:rPr>
              <w:t>申请人可自行编写，也可以自主委托具有相关经验和能力的工程咨询单位编写</w:t>
            </w:r>
          </w:p>
        </w:tc>
      </w:tr>
      <w:tr>
        <w:tblPrEx>
          <w:tblLayout w:type="fixed"/>
          <w:tblCellMar>
            <w:top w:w="0" w:type="dxa"/>
            <w:left w:w="108" w:type="dxa"/>
            <w:bottom w:w="0" w:type="dxa"/>
            <w:right w:w="108" w:type="dxa"/>
          </w:tblCellMar>
        </w:tblPrEx>
        <w:trPr>
          <w:trHeight w:val="174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4</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固定资产投资项目核准评估</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w:t>
            </w:r>
            <w:r>
              <w:rPr>
                <w:rFonts w:hint="eastAsia" w:ascii="仿宋_GB2312" w:hAnsi="宋体" w:eastAsia="仿宋_GB2312" w:cs="宋体"/>
                <w:color w:val="auto"/>
                <w:kern w:val="0"/>
                <w:sz w:val="20"/>
                <w:szCs w:val="20"/>
                <w:highlight w:val="none"/>
              </w:rPr>
              <w:t>、《国务院关于投资体制改革的决定》（国发</w:t>
            </w:r>
            <w:r>
              <w:rPr>
                <w:rFonts w:hint="eastAsia" w:ascii="宋体" w:hAnsi="宋体" w:cs="宋体"/>
                <w:color w:val="auto"/>
                <w:kern w:val="0"/>
                <w:sz w:val="20"/>
                <w:szCs w:val="20"/>
                <w:highlight w:val="none"/>
              </w:rPr>
              <w:t>﹝</w:t>
            </w:r>
            <w:r>
              <w:rPr>
                <w:rFonts w:ascii="仿宋_GB2312" w:hAnsi="宋体" w:eastAsia="仿宋_GB2312" w:cs="宋体"/>
                <w:color w:val="auto"/>
                <w:kern w:val="0"/>
                <w:sz w:val="20"/>
                <w:szCs w:val="20"/>
                <w:highlight w:val="none"/>
              </w:rPr>
              <w:t>2004</w:t>
            </w:r>
            <w:r>
              <w:rPr>
                <w:rFonts w:hint="eastAsia" w:ascii="宋体" w:hAnsi="宋体" w:cs="宋体"/>
                <w:color w:val="auto"/>
                <w:kern w:val="0"/>
                <w:sz w:val="20"/>
                <w:szCs w:val="20"/>
                <w:highlight w:val="none"/>
              </w:rPr>
              <w:t>﹞</w:t>
            </w:r>
            <w:r>
              <w:rPr>
                <w:rFonts w:ascii="仿宋_GB2312" w:hAnsi="宋体" w:eastAsia="仿宋_GB2312" w:cs="宋体"/>
                <w:color w:val="auto"/>
                <w:kern w:val="0"/>
                <w:sz w:val="20"/>
                <w:szCs w:val="20"/>
                <w:highlight w:val="none"/>
              </w:rPr>
              <w:t>20</w:t>
            </w:r>
            <w:r>
              <w:rPr>
                <w:rFonts w:hint="eastAsia" w:ascii="仿宋_GB2312" w:hAnsi="宋体" w:eastAsia="仿宋_GB2312" w:cs="宋体"/>
                <w:color w:val="auto"/>
                <w:kern w:val="0"/>
                <w:sz w:val="20"/>
                <w:szCs w:val="20"/>
                <w:highlight w:val="none"/>
              </w:rPr>
              <w:t>号）；</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、《企业投资项目核准和备案管理条例》第九条；</w:t>
            </w:r>
            <w:r>
              <w:rPr>
                <w:rFonts w:ascii="仿宋_GB2312" w:hAnsi="宋体" w:eastAsia="仿宋_GB2312" w:cs="宋体"/>
                <w:color w:val="auto"/>
                <w:kern w:val="0"/>
                <w:sz w:val="20"/>
                <w:szCs w:val="20"/>
                <w:highlight w:val="none"/>
              </w:rPr>
              <w:t>3</w:t>
            </w:r>
            <w:r>
              <w:rPr>
                <w:rFonts w:hint="eastAsia" w:ascii="仿宋_GB2312" w:hAnsi="宋体" w:eastAsia="仿宋_GB2312" w:cs="宋体"/>
                <w:color w:val="auto"/>
                <w:kern w:val="0"/>
                <w:sz w:val="20"/>
                <w:szCs w:val="20"/>
                <w:highlight w:val="none"/>
              </w:rPr>
              <w:t>、《</w:t>
            </w:r>
            <w:r>
              <w:rPr>
                <w:rFonts w:hint="eastAsia" w:ascii="仿宋_GB2312" w:hAnsi="宋体" w:eastAsia="仿宋_GB2312" w:cs="宋体"/>
                <w:color w:val="auto"/>
                <w:kern w:val="0"/>
                <w:sz w:val="20"/>
                <w:szCs w:val="20"/>
                <w:highlight w:val="none"/>
                <w:lang w:eastAsia="zh-CN"/>
              </w:rPr>
              <w:t>企业投资项目核准和备案管理办法</w:t>
            </w:r>
            <w:r>
              <w:rPr>
                <w:rFonts w:hint="eastAsia" w:ascii="仿宋_GB2312" w:hAnsi="宋体" w:eastAsia="仿宋_GB2312" w:cs="宋体"/>
                <w:color w:val="auto"/>
                <w:kern w:val="0"/>
                <w:sz w:val="20"/>
                <w:szCs w:val="20"/>
                <w:highlight w:val="none"/>
              </w:rPr>
              <w:t>》（国家发</w:t>
            </w:r>
            <w:r>
              <w:rPr>
                <w:rFonts w:hint="eastAsia" w:ascii="仿宋_GB2312" w:hAnsi="宋体" w:eastAsia="仿宋_GB2312" w:cs="宋体"/>
                <w:color w:val="auto"/>
                <w:kern w:val="0"/>
                <w:sz w:val="20"/>
                <w:szCs w:val="20"/>
                <w:highlight w:val="none"/>
                <w:lang w:eastAsia="zh-CN"/>
              </w:rPr>
              <w:t>改委令第</w:t>
            </w:r>
            <w:r>
              <w:rPr>
                <w:rFonts w:hint="eastAsia" w:ascii="仿宋_GB2312" w:hAnsi="宋体" w:eastAsia="仿宋_GB2312" w:cs="宋体"/>
                <w:color w:val="auto"/>
                <w:kern w:val="0"/>
                <w:sz w:val="20"/>
                <w:szCs w:val="20"/>
                <w:highlight w:val="none"/>
                <w:lang w:val="en-US" w:eastAsia="zh-CN"/>
              </w:rPr>
              <w:t>2号</w:t>
            </w:r>
            <w:r>
              <w:rPr>
                <w:rFonts w:hint="eastAsia" w:ascii="仿宋_GB2312" w:hAnsi="宋体" w:eastAsia="仿宋_GB2312" w:cs="宋体"/>
                <w:color w:val="auto"/>
                <w:kern w:val="0"/>
                <w:sz w:val="20"/>
                <w:szCs w:val="20"/>
                <w:highlight w:val="none"/>
              </w:rPr>
              <w:t>）第</w:t>
            </w:r>
            <w:r>
              <w:rPr>
                <w:rFonts w:hint="eastAsia" w:ascii="仿宋_GB2312" w:hAnsi="宋体" w:eastAsia="仿宋_GB2312" w:cs="宋体"/>
                <w:color w:val="auto"/>
                <w:kern w:val="0"/>
                <w:sz w:val="20"/>
                <w:szCs w:val="20"/>
                <w:highlight w:val="none"/>
                <w:lang w:eastAsia="zh-CN"/>
              </w:rPr>
              <w:t>二十六</w:t>
            </w:r>
            <w:r>
              <w:rPr>
                <w:rFonts w:hint="eastAsia" w:ascii="仿宋_GB2312" w:hAnsi="宋体" w:eastAsia="仿宋_GB2312" w:cs="宋体"/>
                <w:color w:val="auto"/>
                <w:kern w:val="0"/>
                <w:sz w:val="20"/>
                <w:szCs w:val="20"/>
                <w:highlight w:val="none"/>
              </w:rPr>
              <w:t>条</w:t>
            </w:r>
            <w:r>
              <w:rPr>
                <w:rFonts w:hint="eastAsia" w:ascii="仿宋_GB2312" w:hAnsi="宋体" w:eastAsia="仿宋_GB2312" w:cs="宋体"/>
                <w:color w:val="auto"/>
                <w:kern w:val="0"/>
                <w:sz w:val="20"/>
                <w:szCs w:val="20"/>
                <w:highlight w:val="none"/>
              </w:rPr>
              <w:t>；</w:t>
            </w:r>
            <w:r>
              <w:rPr>
                <w:rFonts w:ascii="仿宋_GB2312" w:hAnsi="宋体" w:eastAsia="仿宋_GB2312" w:cs="宋体"/>
                <w:color w:val="auto"/>
                <w:kern w:val="0"/>
                <w:sz w:val="20"/>
                <w:szCs w:val="20"/>
                <w:highlight w:val="none"/>
              </w:rPr>
              <w:t>4</w:t>
            </w:r>
            <w:r>
              <w:rPr>
                <w:rFonts w:hint="eastAsia" w:ascii="仿宋_GB2312" w:hAnsi="宋体" w:eastAsia="仿宋_GB2312" w:cs="宋体"/>
                <w:color w:val="auto"/>
                <w:kern w:val="0"/>
                <w:sz w:val="20"/>
                <w:szCs w:val="20"/>
                <w:highlight w:val="none"/>
              </w:rPr>
              <w:t>、《河北省政府核准投资项目实施办法》（冀政</w:t>
            </w:r>
            <w:r>
              <w:rPr>
                <w:rFonts w:hint="eastAsia" w:ascii="宋体" w:hAnsi="宋体" w:cs="宋体"/>
                <w:color w:val="auto"/>
                <w:kern w:val="0"/>
                <w:sz w:val="20"/>
                <w:szCs w:val="20"/>
                <w:highlight w:val="none"/>
              </w:rPr>
              <w:t>﹝</w:t>
            </w:r>
            <w:r>
              <w:rPr>
                <w:rFonts w:ascii="仿宋_GB2312" w:hAnsi="宋体" w:eastAsia="仿宋_GB2312" w:cs="宋体"/>
                <w:color w:val="auto"/>
                <w:kern w:val="0"/>
                <w:sz w:val="20"/>
                <w:szCs w:val="20"/>
                <w:highlight w:val="none"/>
              </w:rPr>
              <w:t>2014</w:t>
            </w:r>
            <w:r>
              <w:rPr>
                <w:rFonts w:hint="eastAsia" w:ascii="宋体" w:hAnsi="宋体" w:cs="宋体"/>
                <w:color w:val="auto"/>
                <w:kern w:val="0"/>
                <w:sz w:val="20"/>
                <w:szCs w:val="20"/>
                <w:highlight w:val="none"/>
              </w:rPr>
              <w:t>﹞</w:t>
            </w:r>
            <w:r>
              <w:rPr>
                <w:rFonts w:ascii="仿宋_GB2312" w:hAnsi="宋体" w:eastAsia="仿宋_GB2312" w:cs="宋体"/>
                <w:color w:val="auto"/>
                <w:kern w:val="0"/>
                <w:sz w:val="20"/>
                <w:szCs w:val="20"/>
                <w:highlight w:val="none"/>
              </w:rPr>
              <w:t>120</w:t>
            </w:r>
            <w:r>
              <w:rPr>
                <w:rFonts w:hint="eastAsia" w:ascii="仿宋_GB2312" w:hAnsi="宋体" w:eastAsia="仿宋_GB2312" w:cs="宋体"/>
                <w:color w:val="auto"/>
                <w:kern w:val="0"/>
                <w:sz w:val="20"/>
                <w:szCs w:val="20"/>
                <w:highlight w:val="none"/>
              </w:rPr>
              <w:t>号）</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w:t>
            </w:r>
            <w:r>
              <w:rPr>
                <w:rFonts w:hint="eastAsia" w:ascii="仿宋_GB2312" w:hAnsi="宋体" w:eastAsia="仿宋_GB2312" w:cs="宋体"/>
                <w:color w:val="auto"/>
                <w:kern w:val="0"/>
                <w:sz w:val="20"/>
                <w:szCs w:val="20"/>
                <w:highlight w:val="none"/>
                <w:lang w:eastAsia="zh-CN"/>
              </w:rPr>
              <w:t>相关能力的工程咨询单位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eastAsia="zh-CN"/>
              </w:rPr>
              <w:t>纳入政府部门审批程序的技术性服务事项</w:t>
            </w:r>
          </w:p>
        </w:tc>
      </w:tr>
      <w:tr>
        <w:tblPrEx>
          <w:tblLayout w:type="fixed"/>
          <w:tblCellMar>
            <w:top w:w="0" w:type="dxa"/>
            <w:left w:w="108" w:type="dxa"/>
            <w:bottom w:w="0" w:type="dxa"/>
            <w:right w:w="108" w:type="dxa"/>
          </w:tblCellMar>
        </w:tblPrEx>
        <w:trPr>
          <w:trHeight w:val="157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5</w:t>
            </w:r>
          </w:p>
        </w:tc>
        <w:tc>
          <w:tcPr>
            <w:tcW w:w="1417"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实施中等及中等以下学历教育、学前教育、自学考试助学及其他文化教育的学校设立、变更和终止审批</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资产审计</w:t>
            </w:r>
          </w:p>
        </w:tc>
        <w:tc>
          <w:tcPr>
            <w:tcW w:w="1559"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w:t>
            </w:r>
            <w:r>
              <w:rPr>
                <w:rFonts w:hint="eastAsia" w:ascii="仿宋_GB2312" w:hAnsi="宋体" w:eastAsia="仿宋_GB2312" w:cs="宋体"/>
                <w:color w:val="auto"/>
                <w:kern w:val="0"/>
                <w:sz w:val="20"/>
                <w:szCs w:val="20"/>
                <w:highlight w:val="none"/>
              </w:rPr>
              <w:t>《中华人民共和国民办教育促进法》第十二、三十八条；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《河北省民办教育条例》第九、十条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会计师事务所或者审计事务所及其他具有相关资格的审计机构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不再要求申请人提供资产审计报告</w:t>
            </w:r>
          </w:p>
        </w:tc>
      </w:tr>
      <w:tr>
        <w:tblPrEx>
          <w:tblLayout w:type="fixed"/>
          <w:tblCellMar>
            <w:top w:w="0" w:type="dxa"/>
            <w:left w:w="108" w:type="dxa"/>
            <w:bottom w:w="0" w:type="dxa"/>
            <w:right w:w="108" w:type="dxa"/>
          </w:tblCellMar>
        </w:tblPrEx>
        <w:trPr>
          <w:trHeight w:val="64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p>
          <w:p>
            <w:pPr>
              <w:widowControl/>
              <w:jc w:val="center"/>
              <w:rPr>
                <w:rFonts w:ascii="仿宋_GB2312" w:hAnsi="宋体" w:eastAsia="仿宋_GB2312" w:cs="宋体"/>
                <w:color w:val="auto"/>
                <w:kern w:val="0"/>
                <w:sz w:val="20"/>
                <w:szCs w:val="20"/>
                <w:highlight w:val="none"/>
              </w:rPr>
            </w:pPr>
            <w:r>
              <w:rPr>
                <w:color w:val="auto"/>
                <w:highlight w:val="none"/>
              </w:rPr>
              <w:pict>
                <v:shape id="_x0000_s1053" o:spid="_x0000_s1053" o:spt="202" type="#_x0000_t202" style="position:absolute;left:0pt;margin-left:-52.15pt;margin-top:-0.45pt;height:79.45pt;width:43.5pt;z-index:251651072;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p>
                    </w:txbxContent>
                  </v:textbox>
                </v:shape>
              </w:pict>
            </w:r>
            <w:r>
              <w:rPr>
                <w:rFonts w:ascii="仿宋_GB2312" w:hAnsi="宋体" w:eastAsia="仿宋_GB2312" w:cs="宋体"/>
                <w:color w:val="auto"/>
                <w:kern w:val="0"/>
                <w:sz w:val="20"/>
                <w:szCs w:val="20"/>
                <w:highlight w:val="none"/>
              </w:rPr>
              <w:t>6</w:t>
            </w:r>
          </w:p>
        </w:tc>
        <w:tc>
          <w:tcPr>
            <w:tcW w:w="141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商品房预售许可</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房产面积测算</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《城市商品房预售管理办法》（中华人民共和国建设部令字第</w:t>
            </w:r>
            <w:r>
              <w:rPr>
                <w:rFonts w:ascii="仿宋_GB2312" w:hAnsi="宋体" w:eastAsia="仿宋_GB2312" w:cs="宋体"/>
                <w:color w:val="auto"/>
                <w:kern w:val="0"/>
                <w:sz w:val="20"/>
                <w:szCs w:val="20"/>
                <w:highlight w:val="none"/>
              </w:rPr>
              <w:t>131</w:t>
            </w:r>
            <w:r>
              <w:rPr>
                <w:rFonts w:hint="eastAsia" w:ascii="仿宋_GB2312" w:hAnsi="宋体" w:eastAsia="仿宋_GB2312" w:cs="宋体"/>
                <w:color w:val="auto"/>
                <w:kern w:val="0"/>
                <w:sz w:val="20"/>
                <w:szCs w:val="20"/>
                <w:highlight w:val="none"/>
              </w:rPr>
              <w:t>号）</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具有测绘资质的机构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纳入政府部门审批程序的技术性服务事项</w:t>
            </w:r>
          </w:p>
        </w:tc>
      </w:tr>
      <w:tr>
        <w:tblPrEx>
          <w:tblLayout w:type="fixed"/>
          <w:tblCellMar>
            <w:top w:w="0" w:type="dxa"/>
            <w:left w:w="108" w:type="dxa"/>
            <w:bottom w:w="0" w:type="dxa"/>
            <w:right w:w="108" w:type="dxa"/>
          </w:tblCellMar>
        </w:tblPrEx>
        <w:trPr>
          <w:trHeight w:val="48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7</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物业服务企业招投标</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《石家庄市物业管理条例》（</w:t>
            </w:r>
            <w:r>
              <w:rPr>
                <w:rFonts w:ascii="仿宋_GB2312" w:hAnsi="宋体" w:eastAsia="仿宋_GB2312" w:cs="宋体"/>
                <w:color w:val="auto"/>
                <w:kern w:val="0"/>
                <w:sz w:val="20"/>
                <w:szCs w:val="20"/>
                <w:highlight w:val="none"/>
              </w:rPr>
              <w:t>2010</w:t>
            </w:r>
            <w:r>
              <w:rPr>
                <w:rFonts w:hint="eastAsia" w:ascii="仿宋_GB2312" w:hAnsi="宋体" w:eastAsia="仿宋_GB2312" w:cs="宋体"/>
                <w:color w:val="auto"/>
                <w:kern w:val="0"/>
                <w:sz w:val="20"/>
                <w:szCs w:val="20"/>
                <w:highlight w:val="none"/>
              </w:rPr>
              <w:t>年修正本自</w:t>
            </w:r>
            <w:r>
              <w:rPr>
                <w:rFonts w:ascii="仿宋_GB2312" w:hAnsi="宋体" w:eastAsia="仿宋_GB2312" w:cs="宋体"/>
                <w:color w:val="auto"/>
                <w:kern w:val="0"/>
                <w:sz w:val="20"/>
                <w:szCs w:val="20"/>
                <w:highlight w:val="none"/>
              </w:rPr>
              <w:t>2010</w:t>
            </w:r>
            <w:r>
              <w:rPr>
                <w:rFonts w:hint="eastAsia" w:ascii="仿宋_GB2312" w:hAnsi="宋体" w:eastAsia="仿宋_GB2312" w:cs="宋体"/>
                <w:color w:val="auto"/>
                <w:kern w:val="0"/>
                <w:sz w:val="20"/>
                <w:szCs w:val="20"/>
                <w:highlight w:val="none"/>
              </w:rPr>
              <w:t>年</w:t>
            </w:r>
            <w:r>
              <w:rPr>
                <w:rFonts w:ascii="仿宋_GB2312" w:hAnsi="宋体" w:eastAsia="仿宋_GB2312" w:cs="宋体"/>
                <w:color w:val="auto"/>
                <w:kern w:val="0"/>
                <w:sz w:val="20"/>
                <w:szCs w:val="20"/>
                <w:highlight w:val="none"/>
              </w:rPr>
              <w:t>3</w:t>
            </w:r>
            <w:r>
              <w:rPr>
                <w:rFonts w:hint="eastAsia" w:ascii="仿宋_GB2312" w:hAnsi="宋体" w:eastAsia="仿宋_GB2312" w:cs="宋体"/>
                <w:color w:val="auto"/>
                <w:kern w:val="0"/>
                <w:sz w:val="20"/>
                <w:szCs w:val="20"/>
                <w:highlight w:val="none"/>
              </w:rPr>
              <w:t>月</w:t>
            </w:r>
            <w:r>
              <w:rPr>
                <w:rFonts w:ascii="仿宋_GB2312" w:hAnsi="宋体" w:eastAsia="仿宋_GB2312" w:cs="宋体"/>
                <w:color w:val="auto"/>
                <w:kern w:val="0"/>
                <w:sz w:val="20"/>
                <w:szCs w:val="20"/>
                <w:highlight w:val="none"/>
              </w:rPr>
              <w:t>1</w:t>
            </w:r>
            <w:r>
              <w:rPr>
                <w:rFonts w:hint="eastAsia" w:ascii="仿宋_GB2312" w:hAnsi="宋体" w:eastAsia="仿宋_GB2312" w:cs="宋体"/>
                <w:color w:val="auto"/>
                <w:kern w:val="0"/>
                <w:sz w:val="20"/>
                <w:szCs w:val="20"/>
                <w:highlight w:val="none"/>
              </w:rPr>
              <w:t>日起实行）</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具有工程建设招投标代理资质的机构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8</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建筑工程施工许可证核发</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河北省建设工程施工图设计文件审查合格书</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《建筑工程施工许可管理办法》（建设部令第</w:t>
            </w:r>
            <w:r>
              <w:rPr>
                <w:rFonts w:ascii="仿宋_GB2312" w:hAnsi="宋体" w:eastAsia="仿宋_GB2312" w:cs="宋体"/>
                <w:color w:val="auto"/>
                <w:kern w:val="0"/>
                <w:sz w:val="20"/>
                <w:szCs w:val="20"/>
                <w:highlight w:val="none"/>
              </w:rPr>
              <w:t>18</w:t>
            </w:r>
            <w:r>
              <w:rPr>
                <w:rFonts w:hint="eastAsia" w:ascii="仿宋_GB2312" w:hAnsi="宋体" w:eastAsia="仿宋_GB2312" w:cs="宋体"/>
                <w:color w:val="auto"/>
                <w:kern w:val="0"/>
                <w:sz w:val="20"/>
                <w:szCs w:val="20"/>
                <w:highlight w:val="none"/>
              </w:rPr>
              <w:t>号）</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具有图审资质的机构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48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9</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城镇污水排入排水管网许可</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排放污水水质、水量检测报告</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《石家庄市城市排水管理条例》第二十二条</w:t>
            </w:r>
          </w:p>
          <w:p>
            <w:pPr>
              <w:widowControl/>
              <w:jc w:val="left"/>
              <w:rPr>
                <w:rFonts w:ascii="仿宋_GB2312" w:hAnsi="宋体" w:eastAsia="仿宋_GB2312" w:cs="宋体"/>
                <w:color w:val="auto"/>
                <w:kern w:val="0"/>
                <w:sz w:val="20"/>
                <w:szCs w:val="20"/>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具有国家计量认证资格的排水监测机构</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219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10</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道路旅客运输经营许可</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道路运输车辆综合性能检测和技术等级评定</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p>
            <w:pPr>
              <w:widowControl/>
              <w:numPr>
                <w:ilvl w:val="0"/>
                <w:numId w:val="1"/>
              </w:numPr>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《中华人民共和国道路运输条例》第八条；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《道路旅客运输及客运站管理规定》第十条；</w:t>
            </w:r>
            <w:r>
              <w:rPr>
                <w:rFonts w:ascii="仿宋_GB2312" w:hAnsi="宋体" w:eastAsia="仿宋_GB2312" w:cs="宋体"/>
                <w:color w:val="auto"/>
                <w:kern w:val="0"/>
                <w:sz w:val="20"/>
                <w:szCs w:val="20"/>
                <w:highlight w:val="none"/>
              </w:rPr>
              <w:t>3.</w:t>
            </w:r>
            <w:r>
              <w:rPr>
                <w:rFonts w:hint="eastAsia" w:ascii="仿宋_GB2312" w:hAnsi="宋体" w:eastAsia="仿宋_GB2312" w:cs="宋体"/>
                <w:color w:val="auto"/>
                <w:kern w:val="0"/>
                <w:sz w:val="20"/>
                <w:szCs w:val="20"/>
                <w:highlight w:val="none"/>
              </w:rPr>
              <w:t>《道路运输车辆技术管理规定》第七条、第十九条、第二十条；</w:t>
            </w:r>
            <w:r>
              <w:rPr>
                <w:rFonts w:ascii="仿宋_GB2312" w:hAnsi="宋体" w:eastAsia="仿宋_GB2312" w:cs="宋体"/>
                <w:color w:val="auto"/>
                <w:kern w:val="0"/>
                <w:sz w:val="20"/>
                <w:szCs w:val="20"/>
                <w:highlight w:val="none"/>
              </w:rPr>
              <w:t>4</w:t>
            </w:r>
            <w:r>
              <w:rPr>
                <w:rFonts w:hint="eastAsia" w:ascii="仿宋_GB2312" w:hAnsi="宋体" w:eastAsia="仿宋_GB2312" w:cs="宋体"/>
                <w:color w:val="auto"/>
                <w:kern w:val="0"/>
                <w:sz w:val="20"/>
                <w:szCs w:val="20"/>
                <w:highlight w:val="none"/>
              </w:rPr>
              <w:t>、《道路运输车辆综合性能要求和检验方法》（</w:t>
            </w:r>
            <w:r>
              <w:rPr>
                <w:rFonts w:ascii="仿宋_GB2312" w:hAnsi="宋体" w:eastAsia="仿宋_GB2312" w:cs="宋体"/>
                <w:color w:val="auto"/>
                <w:kern w:val="0"/>
                <w:sz w:val="20"/>
                <w:szCs w:val="20"/>
                <w:highlight w:val="none"/>
              </w:rPr>
              <w:t>GB18565</w:t>
            </w:r>
            <w:r>
              <w:rPr>
                <w:rFonts w:hint="eastAsia" w:ascii="仿宋_GB2312" w:hAnsi="宋体" w:eastAsia="仿宋_GB2312" w:cs="宋体"/>
                <w:color w:val="auto"/>
                <w:kern w:val="0"/>
                <w:sz w:val="20"/>
                <w:szCs w:val="20"/>
                <w:highlight w:val="none"/>
              </w:rPr>
              <w:t>）</w:t>
            </w:r>
            <w:r>
              <w:rPr>
                <w:rFonts w:ascii="仿宋_GB2312" w:hAnsi="宋体" w:eastAsia="仿宋_GB2312" w:cs="宋体"/>
                <w:color w:val="auto"/>
                <w:kern w:val="0"/>
                <w:sz w:val="20"/>
                <w:szCs w:val="20"/>
                <w:highlight w:val="none"/>
              </w:rPr>
              <w:t>5</w:t>
            </w:r>
            <w:r>
              <w:rPr>
                <w:rFonts w:hint="eastAsia" w:ascii="仿宋_GB2312" w:hAnsi="宋体" w:eastAsia="仿宋_GB2312" w:cs="宋体"/>
                <w:color w:val="auto"/>
                <w:kern w:val="0"/>
                <w:sz w:val="20"/>
                <w:szCs w:val="20"/>
                <w:highlight w:val="none"/>
              </w:rPr>
              <w:t>、《道路车辆外廓尺寸、轴荷及质量限值》（</w:t>
            </w:r>
            <w:r>
              <w:rPr>
                <w:rFonts w:ascii="仿宋_GB2312" w:hAnsi="宋体" w:eastAsia="仿宋_GB2312" w:cs="宋体"/>
                <w:color w:val="auto"/>
                <w:kern w:val="0"/>
                <w:sz w:val="20"/>
                <w:szCs w:val="20"/>
                <w:highlight w:val="none"/>
              </w:rPr>
              <w:t>GB1589</w:t>
            </w:r>
            <w:r>
              <w:rPr>
                <w:rFonts w:hint="eastAsia" w:ascii="仿宋_GB2312" w:hAnsi="宋体" w:eastAsia="仿宋_GB2312" w:cs="宋体"/>
                <w:color w:val="auto"/>
                <w:kern w:val="0"/>
                <w:sz w:val="20"/>
                <w:szCs w:val="20"/>
                <w:highlight w:val="none"/>
              </w:rPr>
              <w:t>）；</w:t>
            </w:r>
            <w:r>
              <w:rPr>
                <w:rFonts w:ascii="仿宋_GB2312" w:hAnsi="宋体" w:eastAsia="仿宋_GB2312" w:cs="宋体"/>
                <w:color w:val="auto"/>
                <w:kern w:val="0"/>
                <w:sz w:val="20"/>
                <w:szCs w:val="20"/>
                <w:highlight w:val="none"/>
              </w:rPr>
              <w:t>6</w:t>
            </w:r>
            <w:r>
              <w:rPr>
                <w:rFonts w:hint="eastAsia" w:ascii="仿宋_GB2312" w:hAnsi="宋体" w:eastAsia="仿宋_GB2312" w:cs="宋体"/>
                <w:color w:val="auto"/>
                <w:kern w:val="0"/>
                <w:sz w:val="20"/>
                <w:szCs w:val="20"/>
                <w:highlight w:val="none"/>
              </w:rPr>
              <w:t>、《道路运输车辆技术等级划分和评定要求》（</w:t>
            </w:r>
            <w:r>
              <w:rPr>
                <w:rFonts w:ascii="仿宋_GB2312" w:hAnsi="宋体" w:eastAsia="仿宋_GB2312" w:cs="宋体"/>
                <w:color w:val="auto"/>
                <w:kern w:val="0"/>
                <w:sz w:val="20"/>
                <w:szCs w:val="20"/>
                <w:highlight w:val="none"/>
              </w:rPr>
              <w:t>JT</w:t>
            </w:r>
            <w:r>
              <w:rPr>
                <w:rFonts w:hint="eastAsia" w:ascii="宋体" w:hAnsi="宋体" w:cs="宋体"/>
                <w:color w:val="auto"/>
                <w:kern w:val="0"/>
                <w:sz w:val="20"/>
                <w:szCs w:val="20"/>
                <w:highlight w:val="none"/>
              </w:rPr>
              <w:t>∕</w:t>
            </w:r>
            <w:r>
              <w:rPr>
                <w:rFonts w:ascii="仿宋_GB2312" w:hAnsi="宋体" w:eastAsia="仿宋_GB2312" w:cs="宋体"/>
                <w:color w:val="auto"/>
                <w:kern w:val="0"/>
                <w:sz w:val="20"/>
                <w:szCs w:val="20"/>
                <w:highlight w:val="none"/>
              </w:rPr>
              <w:t>T198</w:t>
            </w:r>
            <w:r>
              <w:rPr>
                <w:rFonts w:hint="eastAsia" w:ascii="仿宋_GB2312" w:hAnsi="宋体" w:eastAsia="仿宋_GB2312" w:cs="宋体"/>
                <w:color w:val="auto"/>
                <w:kern w:val="0"/>
                <w:sz w:val="20"/>
                <w:szCs w:val="20"/>
                <w:highlight w:val="none"/>
              </w:rPr>
              <w:t>）</w:t>
            </w:r>
          </w:p>
          <w:p>
            <w:pPr>
              <w:widowControl/>
              <w:jc w:val="left"/>
              <w:rPr>
                <w:rFonts w:ascii="仿宋_GB2312" w:hAnsi="宋体" w:eastAsia="仿宋_GB2312" w:cs="宋体"/>
                <w:color w:val="auto"/>
                <w:kern w:val="0"/>
                <w:sz w:val="20"/>
                <w:szCs w:val="20"/>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具有相关资质的机构</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225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ind w:firstLine="100" w:firstLineChars="50"/>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11</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道路货运经营许可</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道路运输车辆综合性能检测和技术等级评定</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p>
            <w:pPr>
              <w:widowControl/>
              <w:numPr>
                <w:ilvl w:val="0"/>
                <w:numId w:val="2"/>
              </w:numPr>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《中华人民共和国道路运输条例》第二十二条；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《道路货物运输及站场管理规定》第六条；</w:t>
            </w:r>
            <w:r>
              <w:rPr>
                <w:rFonts w:ascii="仿宋_GB2312" w:hAnsi="宋体" w:eastAsia="仿宋_GB2312" w:cs="宋体"/>
                <w:color w:val="auto"/>
                <w:kern w:val="0"/>
                <w:sz w:val="20"/>
                <w:szCs w:val="20"/>
                <w:highlight w:val="none"/>
              </w:rPr>
              <w:t>3.</w:t>
            </w:r>
            <w:r>
              <w:rPr>
                <w:rFonts w:hint="eastAsia" w:ascii="仿宋_GB2312" w:hAnsi="宋体" w:eastAsia="仿宋_GB2312" w:cs="宋体"/>
                <w:color w:val="auto"/>
                <w:kern w:val="0"/>
                <w:sz w:val="20"/>
                <w:szCs w:val="20"/>
                <w:highlight w:val="none"/>
              </w:rPr>
              <w:t>《道路运输车辆技术管理规定》第七条、第十九条、第二十条；</w:t>
            </w:r>
            <w:r>
              <w:rPr>
                <w:rFonts w:ascii="仿宋_GB2312" w:hAnsi="宋体" w:eastAsia="仿宋_GB2312" w:cs="宋体"/>
                <w:color w:val="auto"/>
                <w:kern w:val="0"/>
                <w:sz w:val="20"/>
                <w:szCs w:val="20"/>
                <w:highlight w:val="none"/>
              </w:rPr>
              <w:t>4</w:t>
            </w:r>
            <w:r>
              <w:rPr>
                <w:rFonts w:hint="eastAsia" w:ascii="仿宋_GB2312" w:hAnsi="宋体" w:eastAsia="仿宋_GB2312" w:cs="宋体"/>
                <w:color w:val="auto"/>
                <w:kern w:val="0"/>
                <w:sz w:val="20"/>
                <w:szCs w:val="20"/>
                <w:highlight w:val="none"/>
              </w:rPr>
              <w:t>、《道路运输车辆综合性能要求和检验方法》（</w:t>
            </w:r>
            <w:r>
              <w:rPr>
                <w:rFonts w:ascii="仿宋_GB2312" w:hAnsi="宋体" w:eastAsia="仿宋_GB2312" w:cs="宋体"/>
                <w:color w:val="auto"/>
                <w:kern w:val="0"/>
                <w:sz w:val="20"/>
                <w:szCs w:val="20"/>
                <w:highlight w:val="none"/>
              </w:rPr>
              <w:t>GB18565</w:t>
            </w:r>
            <w:r>
              <w:rPr>
                <w:rFonts w:hint="eastAsia" w:ascii="仿宋_GB2312" w:hAnsi="宋体" w:eastAsia="仿宋_GB2312" w:cs="宋体"/>
                <w:color w:val="auto"/>
                <w:kern w:val="0"/>
                <w:sz w:val="20"/>
                <w:szCs w:val="20"/>
                <w:highlight w:val="none"/>
              </w:rPr>
              <w:t>）</w:t>
            </w:r>
            <w:r>
              <w:rPr>
                <w:rFonts w:ascii="仿宋_GB2312" w:hAnsi="宋体" w:eastAsia="仿宋_GB2312" w:cs="宋体"/>
                <w:color w:val="auto"/>
                <w:kern w:val="0"/>
                <w:sz w:val="20"/>
                <w:szCs w:val="20"/>
                <w:highlight w:val="none"/>
              </w:rPr>
              <w:t>5</w:t>
            </w:r>
            <w:r>
              <w:rPr>
                <w:rFonts w:hint="eastAsia" w:ascii="仿宋_GB2312" w:hAnsi="宋体" w:eastAsia="仿宋_GB2312" w:cs="宋体"/>
                <w:color w:val="auto"/>
                <w:kern w:val="0"/>
                <w:sz w:val="20"/>
                <w:szCs w:val="20"/>
                <w:highlight w:val="none"/>
              </w:rPr>
              <w:t>、《道路车辆外廓尺寸、轴荷及质量限值》（</w:t>
            </w:r>
            <w:r>
              <w:rPr>
                <w:rFonts w:ascii="仿宋_GB2312" w:hAnsi="宋体" w:eastAsia="仿宋_GB2312" w:cs="宋体"/>
                <w:color w:val="auto"/>
                <w:kern w:val="0"/>
                <w:sz w:val="20"/>
                <w:szCs w:val="20"/>
                <w:highlight w:val="none"/>
              </w:rPr>
              <w:t>GB1589</w:t>
            </w:r>
            <w:r>
              <w:rPr>
                <w:rFonts w:hint="eastAsia" w:ascii="仿宋_GB2312" w:hAnsi="宋体" w:eastAsia="仿宋_GB2312" w:cs="宋体"/>
                <w:color w:val="auto"/>
                <w:kern w:val="0"/>
                <w:sz w:val="20"/>
                <w:szCs w:val="20"/>
                <w:highlight w:val="none"/>
              </w:rPr>
              <w:t>）；</w:t>
            </w:r>
            <w:r>
              <w:rPr>
                <w:rFonts w:ascii="仿宋_GB2312" w:hAnsi="宋体" w:eastAsia="仿宋_GB2312" w:cs="宋体"/>
                <w:color w:val="auto"/>
                <w:kern w:val="0"/>
                <w:sz w:val="20"/>
                <w:szCs w:val="20"/>
                <w:highlight w:val="none"/>
              </w:rPr>
              <w:t>6</w:t>
            </w:r>
            <w:r>
              <w:rPr>
                <w:rFonts w:hint="eastAsia" w:ascii="仿宋_GB2312" w:hAnsi="宋体" w:eastAsia="仿宋_GB2312" w:cs="宋体"/>
                <w:color w:val="auto"/>
                <w:kern w:val="0"/>
                <w:sz w:val="20"/>
                <w:szCs w:val="20"/>
                <w:highlight w:val="none"/>
              </w:rPr>
              <w:t>、《道路运输车辆技术等级划分和评定要求》（</w:t>
            </w:r>
            <w:r>
              <w:rPr>
                <w:rFonts w:ascii="仿宋_GB2312" w:hAnsi="宋体" w:eastAsia="仿宋_GB2312" w:cs="宋体"/>
                <w:color w:val="auto"/>
                <w:kern w:val="0"/>
                <w:sz w:val="20"/>
                <w:szCs w:val="20"/>
                <w:highlight w:val="none"/>
              </w:rPr>
              <w:t>JT</w:t>
            </w:r>
            <w:r>
              <w:rPr>
                <w:rFonts w:hint="eastAsia" w:ascii="宋体" w:hAnsi="宋体" w:cs="宋体"/>
                <w:color w:val="auto"/>
                <w:kern w:val="0"/>
                <w:sz w:val="20"/>
                <w:szCs w:val="20"/>
                <w:highlight w:val="none"/>
              </w:rPr>
              <w:t>∕</w:t>
            </w:r>
            <w:r>
              <w:rPr>
                <w:rFonts w:ascii="仿宋_GB2312" w:hAnsi="宋体" w:eastAsia="仿宋_GB2312" w:cs="宋体"/>
                <w:color w:val="auto"/>
                <w:kern w:val="0"/>
                <w:sz w:val="20"/>
                <w:szCs w:val="20"/>
                <w:highlight w:val="none"/>
              </w:rPr>
              <w:t>T198</w:t>
            </w:r>
            <w:r>
              <w:rPr>
                <w:rFonts w:hint="eastAsia" w:ascii="仿宋_GB2312" w:hAnsi="宋体" w:eastAsia="仿宋_GB2312" w:cs="宋体"/>
                <w:color w:val="auto"/>
                <w:kern w:val="0"/>
                <w:sz w:val="20"/>
                <w:szCs w:val="20"/>
                <w:highlight w:val="none"/>
              </w:rPr>
              <w:t>）</w:t>
            </w:r>
          </w:p>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具有相关资质的机构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2580" w:hRule="atLeast"/>
        </w:trPr>
        <w:tc>
          <w:tcPr>
            <w:tcW w:w="710" w:type="dxa"/>
            <w:tcBorders>
              <w:top w:val="nil"/>
              <w:left w:val="single" w:color="auto" w:sz="4" w:space="0"/>
              <w:bottom w:val="single" w:color="auto" w:sz="4" w:space="0"/>
              <w:right w:val="single" w:color="auto" w:sz="4" w:space="0"/>
            </w:tcBorders>
            <w:vAlign w:val="center"/>
          </w:tcPr>
          <w:p>
            <w:pPr>
              <w:widowControl/>
              <w:rPr>
                <w:rFonts w:ascii="宋体" w:cs="宋体"/>
                <w:b/>
                <w:bCs/>
                <w:color w:val="auto"/>
                <w:kern w:val="0"/>
                <w:sz w:val="24"/>
                <w:highlight w:val="none"/>
              </w:rPr>
            </w:pPr>
            <w:r>
              <w:rPr>
                <w:rFonts w:ascii="仿宋_GB2312" w:hAnsi="宋体" w:eastAsia="仿宋_GB2312" w:cs="宋体"/>
                <w:color w:val="auto"/>
                <w:kern w:val="0"/>
                <w:sz w:val="20"/>
                <w:szCs w:val="20"/>
                <w:highlight w:val="none"/>
              </w:rPr>
              <w:t>12</w:t>
            </w:r>
          </w:p>
        </w:tc>
        <w:tc>
          <w:tcPr>
            <w:tcW w:w="14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车辆运营证核发</w:t>
            </w:r>
          </w:p>
        </w:tc>
        <w:tc>
          <w:tcPr>
            <w:tcW w:w="226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道路运输车辆综合性能检测和技术等级评定</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p>
            <w:pPr>
              <w:widowControl/>
              <w:numPr>
                <w:ilvl w:val="0"/>
                <w:numId w:val="3"/>
              </w:numPr>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《中华人民共和国安全生产法》第三十三条、第三十四条；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、《巡游出租汽车经营服务管理规定》第八条、第十五条；</w:t>
            </w:r>
            <w:r>
              <w:rPr>
                <w:rFonts w:ascii="仿宋_GB2312" w:hAnsi="宋体" w:eastAsia="仿宋_GB2312" w:cs="宋体"/>
                <w:color w:val="auto"/>
                <w:kern w:val="0"/>
                <w:sz w:val="20"/>
                <w:szCs w:val="20"/>
                <w:highlight w:val="none"/>
              </w:rPr>
              <w:t>3</w:t>
            </w:r>
            <w:r>
              <w:rPr>
                <w:rFonts w:hint="eastAsia" w:ascii="仿宋_GB2312" w:hAnsi="宋体" w:eastAsia="仿宋_GB2312" w:cs="宋体"/>
                <w:color w:val="auto"/>
                <w:kern w:val="0"/>
                <w:sz w:val="20"/>
                <w:szCs w:val="20"/>
                <w:highlight w:val="none"/>
              </w:rPr>
              <w:t>、《网络预约出租汽车经营服务管理暂行办法》第十二条；</w:t>
            </w:r>
            <w:r>
              <w:rPr>
                <w:rFonts w:ascii="仿宋_GB2312" w:hAnsi="宋体" w:eastAsia="仿宋_GB2312" w:cs="宋体"/>
                <w:color w:val="auto"/>
                <w:kern w:val="0"/>
                <w:sz w:val="20"/>
                <w:szCs w:val="20"/>
                <w:highlight w:val="none"/>
              </w:rPr>
              <w:t>4</w:t>
            </w:r>
            <w:r>
              <w:rPr>
                <w:rFonts w:hint="eastAsia" w:ascii="仿宋_GB2312" w:hAnsi="宋体" w:eastAsia="仿宋_GB2312" w:cs="宋体"/>
                <w:color w:val="auto"/>
                <w:kern w:val="0"/>
                <w:sz w:val="20"/>
                <w:szCs w:val="20"/>
                <w:highlight w:val="none"/>
              </w:rPr>
              <w:t>、《道路运输车辆技术管理规定》第七条、第十九条、第二十条；</w:t>
            </w:r>
            <w:r>
              <w:rPr>
                <w:rFonts w:ascii="仿宋_GB2312" w:hAnsi="宋体" w:eastAsia="仿宋_GB2312" w:cs="宋体"/>
                <w:color w:val="auto"/>
                <w:kern w:val="0"/>
                <w:sz w:val="20"/>
                <w:szCs w:val="20"/>
                <w:highlight w:val="none"/>
              </w:rPr>
              <w:t>5</w:t>
            </w:r>
            <w:r>
              <w:rPr>
                <w:rFonts w:hint="eastAsia" w:ascii="仿宋_GB2312" w:hAnsi="宋体" w:eastAsia="仿宋_GB2312" w:cs="宋体"/>
                <w:color w:val="auto"/>
                <w:kern w:val="0"/>
                <w:sz w:val="20"/>
                <w:szCs w:val="20"/>
                <w:highlight w:val="none"/>
              </w:rPr>
              <w:t>、《道路运输车辆综合性能要求和检验方法》（</w:t>
            </w:r>
            <w:r>
              <w:rPr>
                <w:rFonts w:ascii="仿宋_GB2312" w:hAnsi="宋体" w:eastAsia="仿宋_GB2312" w:cs="宋体"/>
                <w:color w:val="auto"/>
                <w:kern w:val="0"/>
                <w:sz w:val="20"/>
                <w:szCs w:val="20"/>
                <w:highlight w:val="none"/>
              </w:rPr>
              <w:t>GB18565</w:t>
            </w:r>
            <w:r>
              <w:rPr>
                <w:rFonts w:hint="eastAsia" w:ascii="仿宋_GB2312" w:hAnsi="宋体" w:eastAsia="仿宋_GB2312" w:cs="宋体"/>
                <w:color w:val="auto"/>
                <w:kern w:val="0"/>
                <w:sz w:val="20"/>
                <w:szCs w:val="20"/>
                <w:highlight w:val="none"/>
              </w:rPr>
              <w:t>）</w:t>
            </w:r>
            <w:r>
              <w:rPr>
                <w:rFonts w:ascii="仿宋_GB2312" w:hAnsi="宋体" w:eastAsia="仿宋_GB2312" w:cs="宋体"/>
                <w:color w:val="auto"/>
                <w:kern w:val="0"/>
                <w:sz w:val="20"/>
                <w:szCs w:val="20"/>
                <w:highlight w:val="none"/>
              </w:rPr>
              <w:t>6</w:t>
            </w:r>
            <w:r>
              <w:rPr>
                <w:rFonts w:hint="eastAsia" w:ascii="仿宋_GB2312" w:hAnsi="宋体" w:eastAsia="仿宋_GB2312" w:cs="宋体"/>
                <w:color w:val="auto"/>
                <w:kern w:val="0"/>
                <w:sz w:val="20"/>
                <w:szCs w:val="20"/>
                <w:highlight w:val="none"/>
              </w:rPr>
              <w:t>、《道路车辆外廓尺寸、轴荷及质量限值》（</w:t>
            </w:r>
            <w:r>
              <w:rPr>
                <w:rFonts w:ascii="仿宋_GB2312" w:hAnsi="宋体" w:eastAsia="仿宋_GB2312" w:cs="宋体"/>
                <w:color w:val="auto"/>
                <w:kern w:val="0"/>
                <w:sz w:val="20"/>
                <w:szCs w:val="20"/>
                <w:highlight w:val="none"/>
              </w:rPr>
              <w:t>GB1589</w:t>
            </w:r>
            <w:r>
              <w:rPr>
                <w:rFonts w:hint="eastAsia" w:ascii="仿宋_GB2312" w:hAnsi="宋体" w:eastAsia="仿宋_GB2312" w:cs="宋体"/>
                <w:color w:val="auto"/>
                <w:kern w:val="0"/>
                <w:sz w:val="20"/>
                <w:szCs w:val="20"/>
                <w:highlight w:val="none"/>
              </w:rPr>
              <w:t>）；</w:t>
            </w:r>
            <w:r>
              <w:rPr>
                <w:rFonts w:ascii="仿宋_GB2312" w:hAnsi="宋体" w:eastAsia="仿宋_GB2312" w:cs="宋体"/>
                <w:color w:val="auto"/>
                <w:kern w:val="0"/>
                <w:sz w:val="20"/>
                <w:szCs w:val="20"/>
                <w:highlight w:val="none"/>
              </w:rPr>
              <w:t>7</w:t>
            </w:r>
            <w:r>
              <w:rPr>
                <w:rFonts w:hint="eastAsia" w:ascii="仿宋_GB2312" w:hAnsi="宋体" w:eastAsia="仿宋_GB2312" w:cs="宋体"/>
                <w:color w:val="auto"/>
                <w:kern w:val="0"/>
                <w:sz w:val="20"/>
                <w:szCs w:val="20"/>
                <w:highlight w:val="none"/>
              </w:rPr>
              <w:t>、《道路运输车辆技术等级划分和评定要求》（</w:t>
            </w:r>
            <w:r>
              <w:rPr>
                <w:rFonts w:ascii="仿宋_GB2312" w:hAnsi="宋体" w:eastAsia="仿宋_GB2312" w:cs="宋体"/>
                <w:color w:val="auto"/>
                <w:kern w:val="0"/>
                <w:sz w:val="20"/>
                <w:szCs w:val="20"/>
                <w:highlight w:val="none"/>
              </w:rPr>
              <w:t>JT</w:t>
            </w:r>
            <w:r>
              <w:rPr>
                <w:rFonts w:hint="eastAsia" w:ascii="仿宋_GB2312" w:hAnsi="宋体" w:eastAsia="仿宋_GB2312" w:cs="宋体"/>
                <w:color w:val="auto"/>
                <w:kern w:val="0"/>
                <w:sz w:val="20"/>
                <w:szCs w:val="20"/>
                <w:highlight w:val="none"/>
              </w:rPr>
              <w:t>∕</w:t>
            </w:r>
            <w:r>
              <w:rPr>
                <w:rFonts w:ascii="仿宋_GB2312" w:hAnsi="宋体" w:eastAsia="仿宋_GB2312" w:cs="宋体"/>
                <w:color w:val="auto"/>
                <w:kern w:val="0"/>
                <w:sz w:val="20"/>
                <w:szCs w:val="20"/>
                <w:highlight w:val="none"/>
              </w:rPr>
              <w:t>T198</w:t>
            </w:r>
            <w:r>
              <w:rPr>
                <w:rFonts w:hint="eastAsia" w:ascii="仿宋_GB2312" w:hAnsi="宋体" w:eastAsia="仿宋_GB2312" w:cs="宋体"/>
                <w:color w:val="auto"/>
                <w:kern w:val="0"/>
                <w:sz w:val="20"/>
                <w:szCs w:val="20"/>
                <w:highlight w:val="none"/>
              </w:rPr>
              <w:t>）</w:t>
            </w:r>
          </w:p>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244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13</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出租汽车经营许可</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道路运输车辆综合性能检测和技术等级评定</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p>
            <w:pPr>
              <w:widowControl/>
              <w:numPr>
                <w:ilvl w:val="0"/>
                <w:numId w:val="4"/>
              </w:numPr>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《中华人民共和国安全生产法》第三十三条、第三十四条；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、《石家庄市出租汽车管理条例》第十条、第十二条、第二十一条、第二十六条；</w:t>
            </w:r>
            <w:r>
              <w:rPr>
                <w:rFonts w:ascii="仿宋_GB2312" w:hAnsi="宋体" w:eastAsia="仿宋_GB2312" w:cs="宋体"/>
                <w:color w:val="auto"/>
                <w:kern w:val="0"/>
                <w:sz w:val="20"/>
                <w:szCs w:val="20"/>
                <w:highlight w:val="none"/>
              </w:rPr>
              <w:t>3</w:t>
            </w:r>
            <w:r>
              <w:rPr>
                <w:rFonts w:hint="eastAsia" w:ascii="仿宋_GB2312" w:hAnsi="宋体" w:eastAsia="仿宋_GB2312" w:cs="宋体"/>
                <w:color w:val="auto"/>
                <w:kern w:val="0"/>
                <w:sz w:val="20"/>
                <w:szCs w:val="20"/>
                <w:highlight w:val="none"/>
              </w:rPr>
              <w:t>、《道路运输车辆技术管理规定》第七条、第十九条、第二十条；</w:t>
            </w:r>
            <w:r>
              <w:rPr>
                <w:rFonts w:ascii="仿宋_GB2312" w:hAnsi="宋体" w:eastAsia="仿宋_GB2312" w:cs="宋体"/>
                <w:color w:val="auto"/>
                <w:kern w:val="0"/>
                <w:sz w:val="20"/>
                <w:szCs w:val="20"/>
                <w:highlight w:val="none"/>
              </w:rPr>
              <w:t>4</w:t>
            </w:r>
            <w:r>
              <w:rPr>
                <w:rFonts w:hint="eastAsia" w:ascii="仿宋_GB2312" w:hAnsi="宋体" w:eastAsia="仿宋_GB2312" w:cs="宋体"/>
                <w:color w:val="auto"/>
                <w:kern w:val="0"/>
                <w:sz w:val="20"/>
                <w:szCs w:val="20"/>
                <w:highlight w:val="none"/>
              </w:rPr>
              <w:t>、《道路运输车辆综合性能要求和检验方法》（</w:t>
            </w:r>
            <w:r>
              <w:rPr>
                <w:rFonts w:ascii="仿宋_GB2312" w:hAnsi="宋体" w:eastAsia="仿宋_GB2312" w:cs="宋体"/>
                <w:color w:val="auto"/>
                <w:kern w:val="0"/>
                <w:sz w:val="20"/>
                <w:szCs w:val="20"/>
                <w:highlight w:val="none"/>
              </w:rPr>
              <w:t>GB18565</w:t>
            </w:r>
            <w:r>
              <w:rPr>
                <w:rFonts w:hint="eastAsia" w:ascii="仿宋_GB2312" w:hAnsi="宋体" w:eastAsia="仿宋_GB2312" w:cs="宋体"/>
                <w:color w:val="auto"/>
                <w:kern w:val="0"/>
                <w:sz w:val="20"/>
                <w:szCs w:val="20"/>
                <w:highlight w:val="none"/>
              </w:rPr>
              <w:t>）</w:t>
            </w:r>
            <w:r>
              <w:rPr>
                <w:rFonts w:ascii="仿宋_GB2312" w:hAnsi="宋体" w:eastAsia="仿宋_GB2312" w:cs="宋体"/>
                <w:color w:val="auto"/>
                <w:kern w:val="0"/>
                <w:sz w:val="20"/>
                <w:szCs w:val="20"/>
                <w:highlight w:val="none"/>
              </w:rPr>
              <w:t>5</w:t>
            </w:r>
            <w:r>
              <w:rPr>
                <w:rFonts w:hint="eastAsia" w:ascii="仿宋_GB2312" w:hAnsi="宋体" w:eastAsia="仿宋_GB2312" w:cs="宋体"/>
                <w:color w:val="auto"/>
                <w:kern w:val="0"/>
                <w:sz w:val="20"/>
                <w:szCs w:val="20"/>
                <w:highlight w:val="none"/>
              </w:rPr>
              <w:t>、《道路车辆外廓尺寸、轴荷及质量限值》（</w:t>
            </w:r>
            <w:r>
              <w:rPr>
                <w:rFonts w:ascii="仿宋_GB2312" w:hAnsi="宋体" w:eastAsia="仿宋_GB2312" w:cs="宋体"/>
                <w:color w:val="auto"/>
                <w:kern w:val="0"/>
                <w:sz w:val="20"/>
                <w:szCs w:val="20"/>
                <w:highlight w:val="none"/>
              </w:rPr>
              <w:t>GB1589</w:t>
            </w:r>
            <w:r>
              <w:rPr>
                <w:rFonts w:hint="eastAsia" w:ascii="仿宋_GB2312" w:hAnsi="宋体" w:eastAsia="仿宋_GB2312" w:cs="宋体"/>
                <w:color w:val="auto"/>
                <w:kern w:val="0"/>
                <w:sz w:val="20"/>
                <w:szCs w:val="20"/>
                <w:highlight w:val="none"/>
              </w:rPr>
              <w:t>）；</w:t>
            </w:r>
            <w:r>
              <w:rPr>
                <w:rFonts w:ascii="仿宋_GB2312" w:hAnsi="宋体" w:eastAsia="仿宋_GB2312" w:cs="宋体"/>
                <w:color w:val="auto"/>
                <w:kern w:val="0"/>
                <w:sz w:val="20"/>
                <w:szCs w:val="20"/>
                <w:highlight w:val="none"/>
              </w:rPr>
              <w:t>6</w:t>
            </w:r>
            <w:r>
              <w:rPr>
                <w:rFonts w:hint="eastAsia" w:ascii="仿宋_GB2312" w:hAnsi="宋体" w:eastAsia="仿宋_GB2312" w:cs="宋体"/>
                <w:color w:val="auto"/>
                <w:kern w:val="0"/>
                <w:sz w:val="20"/>
                <w:szCs w:val="20"/>
                <w:highlight w:val="none"/>
              </w:rPr>
              <w:t>、《道路运输车辆技术等级划分和评定要求》（</w:t>
            </w:r>
            <w:r>
              <w:rPr>
                <w:rFonts w:ascii="仿宋_GB2312" w:hAnsi="宋体" w:eastAsia="仿宋_GB2312" w:cs="宋体"/>
                <w:color w:val="auto"/>
                <w:kern w:val="0"/>
                <w:sz w:val="20"/>
                <w:szCs w:val="20"/>
                <w:highlight w:val="none"/>
              </w:rPr>
              <w:t>JT</w:t>
            </w:r>
            <w:r>
              <w:rPr>
                <w:rFonts w:hint="eastAsia" w:ascii="宋体" w:hAnsi="宋体" w:cs="宋体"/>
                <w:color w:val="auto"/>
                <w:kern w:val="0"/>
                <w:sz w:val="20"/>
                <w:szCs w:val="20"/>
                <w:highlight w:val="none"/>
              </w:rPr>
              <w:t>∕</w:t>
            </w:r>
            <w:r>
              <w:rPr>
                <w:rFonts w:ascii="仿宋_GB2312" w:hAnsi="宋体" w:eastAsia="仿宋_GB2312" w:cs="宋体"/>
                <w:color w:val="auto"/>
                <w:kern w:val="0"/>
                <w:sz w:val="20"/>
                <w:szCs w:val="20"/>
                <w:highlight w:val="none"/>
              </w:rPr>
              <w:t>T198</w:t>
            </w:r>
            <w:r>
              <w:rPr>
                <w:rFonts w:hint="eastAsia" w:ascii="仿宋_GB2312" w:hAnsi="宋体" w:eastAsia="仿宋_GB2312" w:cs="宋体"/>
                <w:color w:val="auto"/>
                <w:kern w:val="0"/>
                <w:sz w:val="20"/>
                <w:szCs w:val="20"/>
                <w:highlight w:val="none"/>
              </w:rPr>
              <w:t>）</w:t>
            </w:r>
          </w:p>
          <w:p>
            <w:pPr>
              <w:widowControl/>
              <w:jc w:val="left"/>
              <w:rPr>
                <w:rFonts w:ascii="仿宋_GB2312" w:hAnsi="宋体" w:eastAsia="仿宋_GB2312" w:cs="宋体"/>
                <w:color w:val="auto"/>
                <w:kern w:val="0"/>
                <w:sz w:val="20"/>
                <w:szCs w:val="20"/>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具有相关资质的机构</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78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p>
          <w:p>
            <w:pPr>
              <w:widowControl/>
              <w:jc w:val="center"/>
              <w:rPr>
                <w:rFonts w:ascii="仿宋_GB2312" w:hAnsi="宋体" w:eastAsia="仿宋_GB2312" w:cs="宋体"/>
                <w:color w:val="auto"/>
                <w:kern w:val="0"/>
                <w:sz w:val="20"/>
                <w:szCs w:val="20"/>
                <w:highlight w:val="none"/>
              </w:rPr>
            </w:pPr>
            <w:r>
              <w:rPr>
                <w:color w:val="auto"/>
                <w:highlight w:val="none"/>
              </w:rPr>
              <w:pict>
                <v:shape id="_x0000_s1055" o:spid="_x0000_s1055" o:spt="202" type="#_x0000_t202" style="position:absolute;left:0pt;margin-left:-54.4pt;margin-top:0.6pt;height:79.45pt;width:43.5pt;z-index:251653120;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p>
                    </w:txbxContent>
                  </v:textbox>
                </v:shape>
              </w:pict>
            </w:r>
            <w:r>
              <w:rPr>
                <w:rFonts w:ascii="仿宋_GB2312" w:hAnsi="宋体" w:eastAsia="仿宋_GB2312" w:cs="宋体"/>
                <w:color w:val="auto"/>
                <w:kern w:val="0"/>
                <w:sz w:val="20"/>
                <w:szCs w:val="20"/>
                <w:highlight w:val="none"/>
              </w:rPr>
              <w:t>14</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农作物种子生产、经营许可证核发</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涉及计量的检验设备检定</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《农作物种子生产经营许可证管理办法》第七条、第八条、第十三条、第十七条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具有相应资质的单位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58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15</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水产苗种生产许可</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水质符合渔业用水标准</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《水产苗种管理办法》第十二条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具有相应资质的单位</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204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p>
          <w:p>
            <w:pPr>
              <w:widowControl/>
              <w:jc w:val="center"/>
              <w:rPr>
                <w:rFonts w:ascii="仿宋_GB2312" w:hAnsi="宋体" w:eastAsia="仿宋_GB2312" w:cs="宋体"/>
                <w:color w:val="auto"/>
                <w:kern w:val="0"/>
                <w:sz w:val="20"/>
                <w:szCs w:val="20"/>
                <w:highlight w:val="none"/>
              </w:rPr>
            </w:pPr>
          </w:p>
          <w:p>
            <w:pPr>
              <w:widowControl/>
              <w:jc w:val="center"/>
              <w:rPr>
                <w:rFonts w:ascii="仿宋_GB2312" w:hAnsi="宋体" w:eastAsia="仿宋_GB2312" w:cs="宋体"/>
                <w:color w:val="auto"/>
                <w:kern w:val="0"/>
                <w:sz w:val="20"/>
                <w:szCs w:val="20"/>
                <w:highlight w:val="none"/>
              </w:rPr>
            </w:pPr>
          </w:p>
          <w:p>
            <w:pPr>
              <w:widowControl/>
              <w:jc w:val="center"/>
              <w:rPr>
                <w:rFonts w:ascii="仿宋_GB2312" w:hAnsi="宋体" w:eastAsia="仿宋_GB2312" w:cs="宋体"/>
                <w:color w:val="auto"/>
                <w:kern w:val="0"/>
                <w:sz w:val="20"/>
                <w:szCs w:val="20"/>
                <w:highlight w:val="none"/>
              </w:rPr>
            </w:pPr>
            <w:r>
              <w:rPr>
                <w:color w:val="auto"/>
                <w:highlight w:val="none"/>
              </w:rPr>
              <w:pict>
                <v:rect id="Text Box 5" o:spid="_x0000_s1057" o:spt="1" style="position:absolute;left:0pt;margin-left:0pt;margin-top:0pt;height:0pt;width:0.05pt;z-index:251646976;mso-width-relative:page;mso-height-relative:page;" filled="f" stroked="f" coordsize="21600,21600">
                  <v:path/>
                  <v:fill on="f" focussize="0,0"/>
                  <v:stroke on="f"/>
                  <v:imagedata o:title=""/>
                  <o:lock v:ext="edit"/>
                </v:rect>
              </w:pict>
            </w:r>
            <w:r>
              <w:rPr>
                <w:rFonts w:ascii="仿宋_GB2312" w:hAnsi="宋体" w:eastAsia="仿宋_GB2312" w:cs="宋体"/>
                <w:color w:val="auto"/>
                <w:kern w:val="0"/>
                <w:sz w:val="20"/>
                <w:szCs w:val="20"/>
                <w:highlight w:val="none"/>
              </w:rPr>
              <w:t>16</w:t>
            </w:r>
          </w:p>
          <w:p>
            <w:pPr>
              <w:widowControl/>
              <w:jc w:val="center"/>
              <w:rPr>
                <w:rFonts w:ascii="宋体" w:cs="宋体"/>
                <w:color w:val="auto"/>
                <w:kern w:val="0"/>
                <w:sz w:val="24"/>
                <w:highlight w:val="none"/>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s="宋体"/>
                <w:color w:val="auto"/>
                <w:kern w:val="0"/>
                <w:sz w:val="20"/>
                <w:szCs w:val="20"/>
                <w:highlight w:val="none"/>
                <w:lang w:eastAsia="zh-CN"/>
              </w:rPr>
              <w:t>取水许可</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编制《建设项目水资源论证报告书（表）》</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18"/>
                <w:szCs w:val="18"/>
                <w:highlight w:val="none"/>
              </w:rPr>
            </w:pPr>
            <w:r>
              <w:rPr>
                <w:rFonts w:ascii="仿宋_GB2312" w:hAnsi="宋体" w:eastAsia="仿宋_GB2312" w:cs="宋体"/>
                <w:color w:val="auto"/>
                <w:kern w:val="0"/>
                <w:sz w:val="18"/>
                <w:szCs w:val="18"/>
                <w:highlight w:val="none"/>
              </w:rPr>
              <w:t>1</w:t>
            </w:r>
            <w:r>
              <w:rPr>
                <w:rFonts w:hint="eastAsia" w:ascii="仿宋_GB2312" w:hAnsi="宋体" w:eastAsia="仿宋_GB2312" w:cs="宋体"/>
                <w:color w:val="auto"/>
                <w:kern w:val="0"/>
                <w:sz w:val="18"/>
                <w:szCs w:val="18"/>
                <w:highlight w:val="none"/>
              </w:rPr>
              <w:t>、《国务院对确需保留的行政审批项目设定行政许可的决定》（国务院令</w:t>
            </w:r>
            <w:r>
              <w:rPr>
                <w:rFonts w:ascii="仿宋_GB2312" w:hAnsi="宋体" w:eastAsia="仿宋_GB2312" w:cs="宋体"/>
                <w:color w:val="auto"/>
                <w:kern w:val="0"/>
                <w:sz w:val="18"/>
                <w:szCs w:val="18"/>
                <w:highlight w:val="none"/>
              </w:rPr>
              <w:t>412</w:t>
            </w:r>
            <w:r>
              <w:rPr>
                <w:rFonts w:hint="eastAsia" w:ascii="仿宋_GB2312" w:hAnsi="宋体" w:eastAsia="仿宋_GB2312" w:cs="宋体"/>
                <w:color w:val="auto"/>
                <w:kern w:val="0"/>
                <w:sz w:val="18"/>
                <w:szCs w:val="18"/>
                <w:highlight w:val="none"/>
              </w:rPr>
              <w:t>号）第一百六十八条；</w:t>
            </w:r>
            <w:r>
              <w:rPr>
                <w:rFonts w:ascii="仿宋_GB2312" w:hAnsi="宋体" w:eastAsia="仿宋_GB2312" w:cs="宋体"/>
                <w:color w:val="auto"/>
                <w:kern w:val="0"/>
                <w:sz w:val="18"/>
                <w:szCs w:val="18"/>
                <w:highlight w:val="none"/>
              </w:rPr>
              <w:t>2</w:t>
            </w:r>
            <w:r>
              <w:rPr>
                <w:rFonts w:hint="eastAsia" w:ascii="仿宋_GB2312" w:hAnsi="宋体" w:eastAsia="仿宋_GB2312" w:cs="宋体"/>
                <w:color w:val="auto"/>
                <w:kern w:val="0"/>
                <w:sz w:val="18"/>
                <w:szCs w:val="18"/>
                <w:highlight w:val="none"/>
              </w:rPr>
              <w:t>、《取水许可和水资源征收管理条例》（国务院令第</w:t>
            </w:r>
            <w:r>
              <w:rPr>
                <w:rFonts w:ascii="仿宋_GB2312" w:hAnsi="宋体" w:eastAsia="仿宋_GB2312" w:cs="宋体"/>
                <w:color w:val="auto"/>
                <w:kern w:val="0"/>
                <w:sz w:val="18"/>
                <w:szCs w:val="18"/>
                <w:highlight w:val="none"/>
              </w:rPr>
              <w:t>460</w:t>
            </w:r>
            <w:r>
              <w:rPr>
                <w:rFonts w:hint="eastAsia" w:ascii="仿宋_GB2312" w:hAnsi="宋体" w:eastAsia="仿宋_GB2312" w:cs="宋体"/>
                <w:color w:val="auto"/>
                <w:kern w:val="0"/>
                <w:sz w:val="18"/>
                <w:szCs w:val="18"/>
                <w:highlight w:val="none"/>
              </w:rPr>
              <w:t>号）第十一条、第二十二条；</w:t>
            </w:r>
            <w:r>
              <w:rPr>
                <w:rFonts w:ascii="仿宋_GB2312" w:hAnsi="宋体" w:eastAsia="仿宋_GB2312" w:cs="宋体"/>
                <w:color w:val="auto"/>
                <w:kern w:val="0"/>
                <w:sz w:val="18"/>
                <w:szCs w:val="18"/>
                <w:highlight w:val="none"/>
              </w:rPr>
              <w:t>3</w:t>
            </w:r>
            <w:r>
              <w:rPr>
                <w:rFonts w:hint="eastAsia" w:ascii="仿宋_GB2312" w:hAnsi="宋体" w:eastAsia="仿宋_GB2312" w:cs="宋体"/>
                <w:color w:val="auto"/>
                <w:kern w:val="0"/>
                <w:sz w:val="18"/>
                <w:szCs w:val="18"/>
                <w:highlight w:val="none"/>
              </w:rPr>
              <w:t>、《取水许可管理办法》（水利部令第</w:t>
            </w:r>
            <w:r>
              <w:rPr>
                <w:rFonts w:ascii="仿宋_GB2312" w:hAnsi="宋体" w:eastAsia="仿宋_GB2312" w:cs="宋体"/>
                <w:color w:val="auto"/>
                <w:kern w:val="0"/>
                <w:sz w:val="18"/>
                <w:szCs w:val="18"/>
                <w:highlight w:val="none"/>
              </w:rPr>
              <w:t>34</w:t>
            </w:r>
            <w:r>
              <w:rPr>
                <w:rFonts w:hint="eastAsia" w:ascii="仿宋_GB2312" w:hAnsi="宋体" w:eastAsia="仿宋_GB2312" w:cs="宋体"/>
                <w:color w:val="auto"/>
                <w:kern w:val="0"/>
                <w:sz w:val="18"/>
                <w:szCs w:val="18"/>
                <w:highlight w:val="none"/>
              </w:rPr>
              <w:t>号）第八、九、十条；</w:t>
            </w:r>
            <w:r>
              <w:rPr>
                <w:rFonts w:ascii="仿宋_GB2312" w:hAnsi="宋体" w:eastAsia="仿宋_GB2312" w:cs="宋体"/>
                <w:color w:val="auto"/>
                <w:kern w:val="0"/>
                <w:sz w:val="18"/>
                <w:szCs w:val="18"/>
                <w:highlight w:val="none"/>
              </w:rPr>
              <w:t>4</w:t>
            </w:r>
            <w:r>
              <w:rPr>
                <w:rFonts w:hint="eastAsia" w:ascii="仿宋_GB2312" w:hAnsi="宋体" w:eastAsia="仿宋_GB2312" w:cs="宋体"/>
                <w:color w:val="auto"/>
                <w:kern w:val="0"/>
                <w:sz w:val="18"/>
                <w:szCs w:val="18"/>
                <w:highlight w:val="none"/>
              </w:rPr>
              <w:t>、《建设项目水资源论证管理办法》（水利部令第</w:t>
            </w:r>
            <w:r>
              <w:rPr>
                <w:rFonts w:ascii="仿宋_GB2312" w:hAnsi="宋体" w:eastAsia="仿宋_GB2312" w:cs="宋体"/>
                <w:color w:val="auto"/>
                <w:kern w:val="0"/>
                <w:sz w:val="18"/>
                <w:szCs w:val="18"/>
                <w:highlight w:val="none"/>
              </w:rPr>
              <w:t>15</w:t>
            </w:r>
            <w:r>
              <w:rPr>
                <w:rFonts w:hint="eastAsia" w:ascii="仿宋_GB2312" w:hAnsi="宋体" w:eastAsia="仿宋_GB2312" w:cs="宋体"/>
                <w:color w:val="auto"/>
                <w:kern w:val="0"/>
                <w:sz w:val="18"/>
                <w:szCs w:val="18"/>
                <w:highlight w:val="none"/>
              </w:rPr>
              <w:t>号）第二、九、十条；</w:t>
            </w:r>
            <w:r>
              <w:rPr>
                <w:rFonts w:ascii="仿宋_GB2312" w:hAnsi="宋体" w:eastAsia="仿宋_GB2312" w:cs="宋体"/>
                <w:color w:val="auto"/>
                <w:kern w:val="0"/>
                <w:sz w:val="18"/>
                <w:szCs w:val="18"/>
                <w:highlight w:val="none"/>
              </w:rPr>
              <w:t>5</w:t>
            </w:r>
            <w:r>
              <w:rPr>
                <w:rFonts w:hint="eastAsia" w:ascii="仿宋_GB2312" w:hAnsi="宋体" w:eastAsia="仿宋_GB2312" w:cs="宋体"/>
                <w:color w:val="auto"/>
                <w:kern w:val="0"/>
                <w:sz w:val="18"/>
                <w:szCs w:val="18"/>
                <w:highlight w:val="none"/>
              </w:rPr>
              <w:t>、《河北省建设项目水资源论证管理办法》（冀水资</w:t>
            </w:r>
            <w:r>
              <w:rPr>
                <w:rFonts w:hint="eastAsia" w:ascii="宋体" w:hAnsi="宋体" w:cs="宋体"/>
                <w:color w:val="auto"/>
                <w:kern w:val="0"/>
                <w:sz w:val="18"/>
                <w:szCs w:val="18"/>
                <w:highlight w:val="none"/>
              </w:rPr>
              <w:t>﹝</w:t>
            </w:r>
            <w:r>
              <w:rPr>
                <w:rFonts w:ascii="仿宋_GB2312" w:hAnsi="宋体" w:eastAsia="仿宋_GB2312" w:cs="宋体"/>
                <w:color w:val="auto"/>
                <w:kern w:val="0"/>
                <w:sz w:val="18"/>
                <w:szCs w:val="18"/>
                <w:highlight w:val="none"/>
              </w:rPr>
              <w:t>2003</w:t>
            </w:r>
            <w:r>
              <w:rPr>
                <w:rFonts w:hint="eastAsia" w:ascii="宋体" w:hAnsi="宋体" w:cs="宋体"/>
                <w:color w:val="auto"/>
                <w:kern w:val="0"/>
                <w:sz w:val="18"/>
                <w:szCs w:val="18"/>
                <w:highlight w:val="none"/>
              </w:rPr>
              <w:t>﹞</w:t>
            </w:r>
            <w:r>
              <w:rPr>
                <w:rFonts w:ascii="仿宋_GB2312" w:hAnsi="宋体" w:eastAsia="仿宋_GB2312" w:cs="宋体"/>
                <w:color w:val="auto"/>
                <w:kern w:val="0"/>
                <w:sz w:val="18"/>
                <w:szCs w:val="18"/>
                <w:highlight w:val="none"/>
              </w:rPr>
              <w:t>3</w:t>
            </w:r>
            <w:r>
              <w:rPr>
                <w:rFonts w:hint="eastAsia" w:ascii="仿宋_GB2312" w:hAnsi="宋体" w:eastAsia="仿宋_GB2312" w:cs="宋体"/>
                <w:color w:val="auto"/>
                <w:kern w:val="0"/>
                <w:sz w:val="18"/>
                <w:szCs w:val="18"/>
                <w:highlight w:val="none"/>
              </w:rPr>
              <w:t>号第二条、第六条</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具有建设项目水资源论证报告书（表）编制能力且具有独立法人资格的企事业单位</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除具备相应资质的中介机构编制外，也可由申请人自行编制</w:t>
            </w:r>
          </w:p>
        </w:tc>
      </w:tr>
      <w:tr>
        <w:tblPrEx>
          <w:tblLayout w:type="fixed"/>
          <w:tblCellMar>
            <w:top w:w="0" w:type="dxa"/>
            <w:left w:w="108" w:type="dxa"/>
            <w:bottom w:w="0" w:type="dxa"/>
            <w:right w:w="108" w:type="dxa"/>
          </w:tblCellMar>
        </w:tblPrEx>
        <w:trPr>
          <w:trHeight w:val="120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17</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生产建设项目水土保持方案审批</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编制水土保持方案</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《中华人民共和国水土保持法》第二十五第一款</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具有从事生产建设项目水土保持方案编制工作相应能力和水平且具有独立法人资格的企事业单位</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除具备相应资质的中介机构编制外，也可由申请人自行编制</w:t>
            </w:r>
          </w:p>
        </w:tc>
      </w:tr>
      <w:tr>
        <w:tblPrEx>
          <w:tblLayout w:type="fixed"/>
          <w:tblCellMar>
            <w:top w:w="0" w:type="dxa"/>
            <w:left w:w="108" w:type="dxa"/>
            <w:bottom w:w="0" w:type="dxa"/>
            <w:right w:w="108" w:type="dxa"/>
          </w:tblCellMar>
        </w:tblPrEx>
        <w:trPr>
          <w:trHeight w:val="87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18</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临时占用林地审批</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出具项目使用林地可行性报告或者林地现状调查表</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《建设项目使用林地审核审批管理办法》第七条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具有相应林业调查规划设计资质的单位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除具备相应资质的中介机构编制外，也可由申请人自行编制</w:t>
            </w:r>
          </w:p>
        </w:tc>
      </w:tr>
      <w:tr>
        <w:tblPrEx>
          <w:tblLayout w:type="fixed"/>
          <w:tblCellMar>
            <w:top w:w="0" w:type="dxa"/>
            <w:left w:w="108" w:type="dxa"/>
            <w:bottom w:w="0" w:type="dxa"/>
            <w:right w:w="108" w:type="dxa"/>
          </w:tblCellMar>
        </w:tblPrEx>
        <w:trPr>
          <w:trHeight w:val="9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19</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粮食收购资格认定</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粮食收购仪器设备检验</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w:t>
            </w:r>
            <w:r>
              <w:rPr>
                <w:rFonts w:hint="eastAsia" w:ascii="仿宋_GB2312" w:hAnsi="宋体" w:eastAsia="仿宋_GB2312" w:cs="宋体"/>
                <w:color w:val="auto"/>
                <w:kern w:val="0"/>
                <w:sz w:val="20"/>
                <w:szCs w:val="20"/>
                <w:highlight w:val="none"/>
              </w:rPr>
              <w:t>《粮食流通管理条例》）第八条、第九条；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《河北省粮食流通管理规定》第七条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具有相应资质的单位</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99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20</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公共场所卫生许可</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公共场所卫生检测报告</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auto"/>
                <w:kern w:val="0"/>
                <w:sz w:val="20"/>
                <w:szCs w:val="20"/>
                <w:highlight w:val="none"/>
              </w:rPr>
            </w:pPr>
          </w:p>
          <w:p>
            <w:pPr>
              <w:widowControl/>
              <w:jc w:val="left"/>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《公共场所卫生管理条例实施细则》第十九条、第二十三条、第三十四条</w:t>
            </w:r>
          </w:p>
          <w:p>
            <w:pPr>
              <w:widowControl/>
              <w:jc w:val="left"/>
              <w:rPr>
                <w:rFonts w:hint="eastAsia" w:ascii="仿宋_GB2312" w:hAnsi="宋体" w:eastAsia="仿宋_GB2312" w:cs="宋体"/>
                <w:color w:val="auto"/>
                <w:kern w:val="0"/>
                <w:sz w:val="20"/>
                <w:szCs w:val="20"/>
                <w:highlight w:val="none"/>
              </w:rPr>
            </w:pPr>
          </w:p>
          <w:p>
            <w:pPr>
              <w:widowControl/>
              <w:jc w:val="left"/>
              <w:rPr>
                <w:rFonts w:hint="eastAsia" w:ascii="仿宋_GB2312" w:hAnsi="宋体" w:eastAsia="仿宋_GB2312" w:cs="宋体"/>
                <w:color w:val="auto"/>
                <w:kern w:val="0"/>
                <w:sz w:val="20"/>
                <w:szCs w:val="20"/>
                <w:highlight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具备相应资质的中介机构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112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21</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医疗机构放射性职业病危害建设项目预评价报告审核</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新建、改建、扩建放射诊疗场所职业病危害放射防护预评价报告</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w:t>
            </w:r>
            <w:r>
              <w:rPr>
                <w:rFonts w:hint="eastAsia" w:ascii="仿宋_GB2312" w:hAnsi="宋体" w:eastAsia="仿宋_GB2312" w:cs="宋体"/>
                <w:color w:val="auto"/>
                <w:kern w:val="0"/>
                <w:sz w:val="20"/>
                <w:szCs w:val="20"/>
                <w:highlight w:val="none"/>
              </w:rPr>
              <w:t>《中华人民共和国职业病防治法》第十七条、第十八条、第十九条；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《放射诊疗管理规定》（卫生部令第</w:t>
            </w:r>
            <w:r>
              <w:rPr>
                <w:rFonts w:ascii="仿宋_GB2312" w:hAnsi="宋体" w:eastAsia="仿宋_GB2312" w:cs="宋体"/>
                <w:color w:val="auto"/>
                <w:kern w:val="0"/>
                <w:sz w:val="20"/>
                <w:szCs w:val="20"/>
                <w:highlight w:val="none"/>
              </w:rPr>
              <w:t>46</w:t>
            </w:r>
            <w:r>
              <w:rPr>
                <w:rFonts w:hint="eastAsia" w:ascii="仿宋_GB2312" w:hAnsi="宋体" w:eastAsia="仿宋_GB2312" w:cs="宋体"/>
                <w:color w:val="auto"/>
                <w:kern w:val="0"/>
                <w:sz w:val="20"/>
                <w:szCs w:val="20"/>
                <w:highlight w:val="none"/>
              </w:rPr>
              <w:t>号）第十二条、第十三条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具备相应资质的中介机构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12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22</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医疗机构放射性职业病危害建设项目竣工验收</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新建、改建、扩建放射诊疗场所职业病危害控制效果放射防护评价报告</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p>
            <w:pPr>
              <w:widowControl/>
              <w:numPr>
                <w:ilvl w:val="0"/>
                <w:numId w:val="5"/>
              </w:numPr>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《中华人民共和国职业病防治法》第十七条、第十八、第十九条、第八十九条；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《放射诊疗管理规定》（卫生部令第</w:t>
            </w:r>
            <w:r>
              <w:rPr>
                <w:rFonts w:ascii="仿宋_GB2312" w:hAnsi="宋体" w:eastAsia="仿宋_GB2312" w:cs="宋体"/>
                <w:color w:val="auto"/>
                <w:kern w:val="0"/>
                <w:sz w:val="20"/>
                <w:szCs w:val="20"/>
                <w:highlight w:val="none"/>
              </w:rPr>
              <w:t>46</w:t>
            </w:r>
            <w:r>
              <w:rPr>
                <w:rFonts w:hint="eastAsia" w:ascii="仿宋_GB2312" w:hAnsi="宋体" w:eastAsia="仿宋_GB2312" w:cs="宋体"/>
                <w:color w:val="auto"/>
                <w:kern w:val="0"/>
                <w:sz w:val="20"/>
                <w:szCs w:val="20"/>
                <w:highlight w:val="none"/>
              </w:rPr>
              <w:t>号）第十二条、第十三条</w:t>
            </w:r>
          </w:p>
          <w:p>
            <w:pPr>
              <w:widowControl/>
              <w:numPr>
                <w:ilvl w:val="0"/>
                <w:numId w:val="5"/>
              </w:numPr>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具备相应资质的中介机构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9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23</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放射源诊疗技术和医用辐射机构许可</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放射诊疗设备及场所放射防护检测</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w:t>
            </w:r>
            <w:r>
              <w:rPr>
                <w:rFonts w:hint="eastAsia" w:ascii="仿宋_GB2312" w:hAnsi="宋体" w:eastAsia="仿宋_GB2312" w:cs="宋体"/>
                <w:color w:val="auto"/>
                <w:kern w:val="0"/>
                <w:sz w:val="20"/>
                <w:szCs w:val="20"/>
                <w:highlight w:val="none"/>
              </w:rPr>
              <w:t>《放射诊疗管理规定》第二十条、第二十一条；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《河北省放射诊疗许可证发放管理办法》第六条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具备相应资质的中介机构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96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24</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饮用水供水单位卫生许可</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具有计量认证资质的检验机构出具的水源水和出厂水水质检测报告</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auto"/>
                <w:kern w:val="0"/>
                <w:sz w:val="20"/>
                <w:szCs w:val="20"/>
                <w:highlight w:val="none"/>
              </w:rPr>
            </w:pPr>
          </w:p>
          <w:p>
            <w:pPr>
              <w:widowControl/>
              <w:jc w:val="left"/>
              <w:rPr>
                <w:rFonts w:hint="eastAsia" w:ascii="仿宋_GB2312" w:hAnsi="宋体" w:eastAsia="仿宋_GB2312" w:cs="宋体"/>
                <w:color w:val="auto"/>
                <w:kern w:val="0"/>
                <w:sz w:val="20"/>
                <w:szCs w:val="20"/>
                <w:highlight w:val="none"/>
              </w:rPr>
            </w:pPr>
          </w:p>
          <w:p>
            <w:pPr>
              <w:widowControl/>
              <w:jc w:val="left"/>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《河北省生活饮用水供水单位卫生许可管理办法》第六条、第八条</w:t>
            </w:r>
          </w:p>
          <w:p>
            <w:pPr>
              <w:widowControl/>
              <w:jc w:val="left"/>
              <w:rPr>
                <w:rFonts w:hint="eastAsia" w:ascii="仿宋_GB2312" w:hAnsi="宋体" w:eastAsia="仿宋_GB2312" w:cs="宋体"/>
                <w:color w:val="auto"/>
                <w:kern w:val="0"/>
                <w:sz w:val="20"/>
                <w:szCs w:val="20"/>
                <w:highlight w:val="none"/>
              </w:rPr>
            </w:pPr>
          </w:p>
          <w:p>
            <w:pPr>
              <w:widowControl/>
              <w:jc w:val="left"/>
              <w:rPr>
                <w:rFonts w:hint="eastAsia" w:ascii="仿宋_GB2312" w:hAnsi="宋体" w:eastAsia="仿宋_GB2312" w:cs="宋体"/>
                <w:color w:val="auto"/>
                <w:kern w:val="0"/>
                <w:sz w:val="20"/>
                <w:szCs w:val="20"/>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具备相应资质的中介机构</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51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25</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社会团体成立、变更、注销登记</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验资报告</w:t>
            </w:r>
          </w:p>
        </w:tc>
        <w:tc>
          <w:tcPr>
            <w:tcW w:w="1559" w:type="dxa"/>
            <w:tcBorders>
              <w:top w:val="single" w:color="auto" w:sz="4" w:space="0"/>
              <w:left w:val="nil"/>
              <w:bottom w:val="nil"/>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w:t>
            </w:r>
            <w:r>
              <w:rPr>
                <w:rFonts w:hint="eastAsia" w:ascii="仿宋_GB2312" w:hAnsi="宋体" w:eastAsia="仿宋_GB2312" w:cs="宋体"/>
                <w:color w:val="auto"/>
                <w:kern w:val="0"/>
                <w:sz w:val="20"/>
                <w:szCs w:val="20"/>
                <w:highlight w:val="none"/>
              </w:rPr>
              <w:t>《社会团体登记管理条例》第十一条第三款；</w:t>
            </w:r>
            <w:r>
              <w:rPr>
                <w:rFonts w:ascii="仿宋_GB2312" w:hAnsi="宋体" w:eastAsia="仿宋_GB2312" w:cs="宋体"/>
                <w:color w:val="auto"/>
                <w:kern w:val="0"/>
                <w:sz w:val="20"/>
                <w:szCs w:val="20"/>
                <w:highlight w:val="none"/>
              </w:rPr>
              <w:t xml:space="preserve">  2.</w:t>
            </w:r>
            <w:r>
              <w:rPr>
                <w:rFonts w:hint="eastAsia" w:ascii="仿宋_GB2312" w:hAnsi="宋体" w:eastAsia="仿宋_GB2312" w:cs="宋体"/>
                <w:color w:val="auto"/>
                <w:kern w:val="0"/>
                <w:sz w:val="20"/>
                <w:szCs w:val="20"/>
                <w:highlight w:val="none"/>
              </w:rPr>
              <w:t>《河北省社会团体登记管理办法》第二十二条、第二十七条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具有相应资质的单位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824"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p>
          <w:p>
            <w:pPr>
              <w:widowControl/>
              <w:jc w:val="center"/>
              <w:rPr>
                <w:rFonts w:hint="eastAsia" w:ascii="仿宋_GB2312" w:hAnsi="宋体" w:eastAsia="宋体"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pict>
                <v:shape id="_x0000_s1058" o:spid="_x0000_s1058" o:spt="202" type="#_x0000_t202" style="position:absolute;left:0pt;margin-left:-54.7pt;margin-top:14.35pt;height:79.45pt;width:43.5pt;z-index:251655168;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p>
                    </w:txbxContent>
                  </v:textbox>
                </v:shape>
              </w:pict>
            </w:r>
            <w:r>
              <w:rPr>
                <w:rFonts w:hint="eastAsia" w:ascii="仿宋_GB2312" w:hAnsi="宋体" w:eastAsia="仿宋_GB2312" w:cs="宋体"/>
                <w:color w:val="auto"/>
                <w:kern w:val="0"/>
                <w:sz w:val="20"/>
                <w:szCs w:val="20"/>
                <w:highlight w:val="none"/>
                <w:lang w:val="en-US" w:eastAsia="zh-CN"/>
              </w:rPr>
              <w:t>26</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审计报告</w:t>
            </w:r>
          </w:p>
        </w:tc>
        <w:tc>
          <w:tcPr>
            <w:tcW w:w="1559" w:type="dxa"/>
            <w:tcBorders>
              <w:top w:val="single" w:color="auto" w:sz="4" w:space="0"/>
              <w:left w:val="nil"/>
              <w:bottom w:val="nil"/>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具有相应资质的单位</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纳入政府部门审批程序的技术性服务事项</w:t>
            </w:r>
          </w:p>
        </w:tc>
      </w:tr>
      <w:tr>
        <w:tblPrEx>
          <w:tblLayout w:type="fixed"/>
          <w:tblCellMar>
            <w:top w:w="0" w:type="dxa"/>
            <w:left w:w="108" w:type="dxa"/>
            <w:bottom w:w="0" w:type="dxa"/>
            <w:right w:w="108" w:type="dxa"/>
          </w:tblCellMar>
        </w:tblPrEx>
        <w:trPr>
          <w:trHeight w:val="798"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27</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清算报告</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具有相应资质的单位</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纳入政府部门审批程序的技术性服务事项</w:t>
            </w:r>
          </w:p>
        </w:tc>
      </w:tr>
      <w:tr>
        <w:tblPrEx>
          <w:tblLayout w:type="fixed"/>
          <w:tblCellMar>
            <w:top w:w="0" w:type="dxa"/>
            <w:left w:w="108" w:type="dxa"/>
            <w:bottom w:w="0" w:type="dxa"/>
            <w:right w:w="108" w:type="dxa"/>
          </w:tblCellMar>
        </w:tblPrEx>
        <w:trPr>
          <w:trHeight w:val="28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28</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民办非企业单位成立、变更、注销登记</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验资报告</w:t>
            </w:r>
          </w:p>
        </w:tc>
        <w:tc>
          <w:tcPr>
            <w:tcW w:w="1559" w:type="dxa"/>
            <w:tcBorders>
              <w:top w:val="single" w:color="auto" w:sz="4" w:space="0"/>
              <w:left w:val="nil"/>
              <w:bottom w:val="nil"/>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《民办非企业单位登记管理暂行条例》第九条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具有相应资质的单位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843"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29</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审计报告</w:t>
            </w:r>
          </w:p>
        </w:tc>
        <w:tc>
          <w:tcPr>
            <w:tcW w:w="1559" w:type="dxa"/>
            <w:tcBorders>
              <w:top w:val="single" w:color="auto" w:sz="4" w:space="0"/>
              <w:left w:val="nil"/>
              <w:bottom w:val="nil"/>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具有相应资质的单位</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纳入政府部门审批程序的技术性服务事项</w:t>
            </w:r>
          </w:p>
        </w:tc>
      </w:tr>
      <w:tr>
        <w:tblPrEx>
          <w:tblLayout w:type="fixed"/>
          <w:tblCellMar>
            <w:top w:w="0" w:type="dxa"/>
            <w:left w:w="108" w:type="dxa"/>
            <w:bottom w:w="0" w:type="dxa"/>
            <w:right w:w="108" w:type="dxa"/>
          </w:tblCellMar>
        </w:tblPrEx>
        <w:trPr>
          <w:trHeight w:val="79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30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清算报告</w:t>
            </w:r>
          </w:p>
        </w:tc>
        <w:tc>
          <w:tcPr>
            <w:tcW w:w="1559" w:type="dxa"/>
            <w:tcBorders>
              <w:top w:val="single" w:color="auto" w:sz="4" w:space="0"/>
              <w:left w:val="nil"/>
              <w:bottom w:val="nil"/>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具有相应资质的单位</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纳入政府部门审批程序的技术性服务事项</w:t>
            </w:r>
          </w:p>
        </w:tc>
      </w:tr>
      <w:tr>
        <w:tblPrEx>
          <w:tblLayout w:type="fixed"/>
          <w:tblCellMar>
            <w:top w:w="0" w:type="dxa"/>
            <w:left w:w="108" w:type="dxa"/>
            <w:bottom w:w="0" w:type="dxa"/>
            <w:right w:w="108" w:type="dxa"/>
          </w:tblCellMar>
        </w:tblPrEx>
        <w:trPr>
          <w:trHeight w:val="64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31</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教师资格认定</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教师资格申请人员体格检查</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《教师资格条例》第六条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具有相应资质的单位</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120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32</w:t>
            </w:r>
          </w:p>
        </w:tc>
        <w:tc>
          <w:tcPr>
            <w:tcW w:w="1417" w:type="dxa"/>
            <w:vMerge w:val="restart"/>
            <w:tcBorders>
              <w:top w:val="nil"/>
              <w:left w:val="nil"/>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s="宋体"/>
                <w:color w:val="auto"/>
                <w:kern w:val="0"/>
                <w:sz w:val="20"/>
                <w:szCs w:val="20"/>
                <w:highlight w:val="none"/>
                <w:lang w:eastAsia="zh-CN"/>
              </w:rPr>
              <w:t>洪水影响评价类审批</w:t>
            </w:r>
          </w:p>
          <w:p>
            <w:pPr>
              <w:widowControl/>
              <w:jc w:val="center"/>
              <w:rPr>
                <w:rFonts w:hint="eastAsia" w:ascii="仿宋_GB2312" w:hAnsi="宋体" w:eastAsia="仿宋_GB2312" w:cs="宋体"/>
                <w:color w:val="auto"/>
                <w:kern w:val="0"/>
                <w:sz w:val="20"/>
                <w:szCs w:val="20"/>
                <w:highlight w:val="none"/>
                <w:lang w:eastAsia="zh-CN"/>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水工程建设规划同意书专题论证报告编制</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《水工程建设规划同意书制度管理办法（试行）》（水利部第</w:t>
            </w:r>
            <w:r>
              <w:rPr>
                <w:rFonts w:ascii="仿宋_GB2312" w:hAnsi="宋体" w:eastAsia="仿宋_GB2312" w:cs="宋体"/>
                <w:color w:val="auto"/>
                <w:kern w:val="0"/>
                <w:sz w:val="20"/>
                <w:szCs w:val="20"/>
                <w:highlight w:val="none"/>
              </w:rPr>
              <w:t>31</w:t>
            </w:r>
            <w:r>
              <w:rPr>
                <w:rFonts w:hint="eastAsia" w:ascii="仿宋_GB2312" w:hAnsi="宋体" w:eastAsia="仿宋_GB2312" w:cs="宋体"/>
                <w:color w:val="auto"/>
                <w:kern w:val="0"/>
                <w:sz w:val="20"/>
                <w:szCs w:val="20"/>
                <w:highlight w:val="none"/>
              </w:rPr>
              <w:t>号令）第九条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具有水工程建设规划同意书专题论证报告编制能力且具有独立法人资格的企事业单位</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除具备相应资质的中介机构编制外，也可由申请人自行编制</w:t>
            </w:r>
          </w:p>
        </w:tc>
      </w:tr>
      <w:tr>
        <w:tblPrEx>
          <w:tblLayout w:type="fixed"/>
          <w:tblCellMar>
            <w:top w:w="0" w:type="dxa"/>
            <w:left w:w="108" w:type="dxa"/>
            <w:bottom w:w="0" w:type="dxa"/>
            <w:right w:w="108" w:type="dxa"/>
          </w:tblCellMar>
        </w:tblPrEx>
        <w:trPr>
          <w:trHeight w:val="192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33</w:t>
            </w:r>
          </w:p>
        </w:tc>
        <w:tc>
          <w:tcPr>
            <w:tcW w:w="1417" w:type="dxa"/>
            <w:vMerge w:val="continue"/>
            <w:tcBorders>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eastAsia="zh-CN"/>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防洪影响评价报告</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p>
            <w:pPr>
              <w:widowControl/>
              <w:numPr>
                <w:ilvl w:val="0"/>
                <w:numId w:val="6"/>
              </w:numPr>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《中华人民共和国防洪法》第三十三条；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、《水利部、国家计划委员会河道管理范围建设项目管理的有关规定》（水政〔</w:t>
            </w:r>
            <w:r>
              <w:rPr>
                <w:rFonts w:ascii="仿宋_GB2312" w:hAnsi="宋体" w:eastAsia="仿宋_GB2312" w:cs="宋体"/>
                <w:color w:val="auto"/>
                <w:kern w:val="0"/>
                <w:sz w:val="20"/>
                <w:szCs w:val="20"/>
                <w:highlight w:val="none"/>
              </w:rPr>
              <w:t>1992</w:t>
            </w:r>
            <w:r>
              <w:rPr>
                <w:rFonts w:hint="eastAsia" w:ascii="仿宋_GB2312" w:hAnsi="宋体" w:eastAsia="仿宋_GB2312" w:cs="宋体"/>
                <w:color w:val="auto"/>
                <w:kern w:val="0"/>
                <w:sz w:val="20"/>
                <w:szCs w:val="20"/>
                <w:highlight w:val="none"/>
              </w:rPr>
              <w:t>〕</w:t>
            </w:r>
            <w:r>
              <w:rPr>
                <w:rFonts w:ascii="仿宋_GB2312" w:hAnsi="宋体" w:eastAsia="仿宋_GB2312" w:cs="宋体"/>
                <w:color w:val="auto"/>
                <w:kern w:val="0"/>
                <w:sz w:val="20"/>
                <w:szCs w:val="20"/>
                <w:highlight w:val="none"/>
              </w:rPr>
              <w:t>7</w:t>
            </w:r>
            <w:r>
              <w:rPr>
                <w:rFonts w:hint="eastAsia" w:ascii="仿宋_GB2312" w:hAnsi="宋体" w:eastAsia="仿宋_GB2312" w:cs="宋体"/>
                <w:color w:val="auto"/>
                <w:kern w:val="0"/>
                <w:sz w:val="20"/>
                <w:szCs w:val="20"/>
                <w:highlight w:val="none"/>
              </w:rPr>
              <w:t>号第五条）；</w:t>
            </w:r>
            <w:r>
              <w:rPr>
                <w:rFonts w:ascii="仿宋_GB2312" w:hAnsi="宋体" w:eastAsia="仿宋_GB2312" w:cs="宋体"/>
                <w:color w:val="auto"/>
                <w:kern w:val="0"/>
                <w:sz w:val="20"/>
                <w:szCs w:val="20"/>
                <w:highlight w:val="none"/>
              </w:rPr>
              <w:t>3</w:t>
            </w:r>
            <w:r>
              <w:rPr>
                <w:rFonts w:hint="eastAsia" w:ascii="仿宋_GB2312" w:hAnsi="宋体" w:eastAsia="仿宋_GB2312" w:cs="宋体"/>
                <w:color w:val="auto"/>
                <w:kern w:val="0"/>
                <w:sz w:val="20"/>
                <w:szCs w:val="20"/>
                <w:highlight w:val="none"/>
              </w:rPr>
              <w:t>、《河北省河道管理范围内建设项目管理办法（暂时）》（冀水建管〔</w:t>
            </w:r>
            <w:r>
              <w:rPr>
                <w:rFonts w:ascii="仿宋_GB2312" w:hAnsi="宋体" w:eastAsia="仿宋_GB2312" w:cs="宋体"/>
                <w:color w:val="auto"/>
                <w:kern w:val="0"/>
                <w:sz w:val="20"/>
                <w:szCs w:val="20"/>
                <w:highlight w:val="none"/>
              </w:rPr>
              <w:t>2007</w:t>
            </w:r>
            <w:r>
              <w:rPr>
                <w:rFonts w:hint="eastAsia" w:ascii="仿宋_GB2312" w:hAnsi="宋体" w:eastAsia="仿宋_GB2312" w:cs="宋体"/>
                <w:color w:val="auto"/>
                <w:kern w:val="0"/>
                <w:sz w:val="20"/>
                <w:szCs w:val="20"/>
                <w:highlight w:val="none"/>
              </w:rPr>
              <w:t>〕</w:t>
            </w:r>
            <w:r>
              <w:rPr>
                <w:rFonts w:ascii="仿宋_GB2312" w:hAnsi="宋体" w:eastAsia="仿宋_GB2312" w:cs="宋体"/>
                <w:color w:val="auto"/>
                <w:kern w:val="0"/>
                <w:sz w:val="20"/>
                <w:szCs w:val="20"/>
                <w:highlight w:val="none"/>
              </w:rPr>
              <w:t>115</w:t>
            </w:r>
            <w:r>
              <w:rPr>
                <w:rFonts w:hint="eastAsia" w:ascii="仿宋_GB2312" w:hAnsi="宋体" w:eastAsia="仿宋_GB2312" w:cs="宋体"/>
                <w:color w:val="auto"/>
                <w:kern w:val="0"/>
                <w:sz w:val="20"/>
                <w:szCs w:val="20"/>
                <w:highlight w:val="none"/>
              </w:rPr>
              <w:t>号）第十条；</w:t>
            </w:r>
            <w:r>
              <w:rPr>
                <w:rFonts w:ascii="仿宋_GB2312" w:hAnsi="宋体" w:eastAsia="仿宋_GB2312" w:cs="宋体"/>
                <w:color w:val="auto"/>
                <w:kern w:val="0"/>
                <w:sz w:val="20"/>
                <w:szCs w:val="20"/>
                <w:highlight w:val="none"/>
              </w:rPr>
              <w:t>4</w:t>
            </w:r>
            <w:r>
              <w:rPr>
                <w:rFonts w:hint="eastAsia" w:ascii="仿宋_GB2312" w:hAnsi="宋体" w:eastAsia="仿宋_GB2312" w:cs="宋体"/>
                <w:color w:val="auto"/>
                <w:kern w:val="0"/>
                <w:sz w:val="20"/>
                <w:szCs w:val="20"/>
                <w:highlight w:val="none"/>
              </w:rPr>
              <w:t>、《水利部关于进一步加强和规范河道管理内建设项目审批管理的通知》（水建管〔</w:t>
            </w:r>
            <w:r>
              <w:rPr>
                <w:rFonts w:ascii="仿宋_GB2312" w:hAnsi="宋体" w:eastAsia="仿宋_GB2312" w:cs="宋体"/>
                <w:color w:val="auto"/>
                <w:kern w:val="0"/>
                <w:sz w:val="20"/>
                <w:szCs w:val="20"/>
                <w:highlight w:val="none"/>
              </w:rPr>
              <w:t>2001</w:t>
            </w:r>
            <w:r>
              <w:rPr>
                <w:rFonts w:hint="eastAsia" w:ascii="仿宋_GB2312" w:hAnsi="宋体" w:eastAsia="仿宋_GB2312" w:cs="宋体"/>
                <w:color w:val="auto"/>
                <w:kern w:val="0"/>
                <w:sz w:val="20"/>
                <w:szCs w:val="20"/>
                <w:highlight w:val="none"/>
              </w:rPr>
              <w:t>〕</w:t>
            </w:r>
            <w:r>
              <w:rPr>
                <w:rFonts w:ascii="仿宋_GB2312" w:hAnsi="宋体" w:eastAsia="仿宋_GB2312" w:cs="宋体"/>
                <w:color w:val="auto"/>
                <w:kern w:val="0"/>
                <w:sz w:val="20"/>
                <w:szCs w:val="20"/>
                <w:highlight w:val="none"/>
              </w:rPr>
              <w:t>618</w:t>
            </w:r>
            <w:r>
              <w:rPr>
                <w:rFonts w:hint="eastAsia" w:ascii="仿宋_GB2312" w:hAnsi="宋体" w:eastAsia="仿宋_GB2312" w:cs="宋体"/>
                <w:color w:val="auto"/>
                <w:kern w:val="0"/>
                <w:sz w:val="20"/>
                <w:szCs w:val="20"/>
                <w:highlight w:val="none"/>
              </w:rPr>
              <w:t>号）</w:t>
            </w:r>
          </w:p>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具有相应水利（水电）工程勘测设计资质的企事业单位</w:t>
            </w:r>
          </w:p>
        </w:tc>
        <w:tc>
          <w:tcPr>
            <w:tcW w:w="144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除具备相应资质的中介机构编制外，也可由申请人自行编制</w:t>
            </w:r>
          </w:p>
        </w:tc>
      </w:tr>
      <w:tr>
        <w:tblPrEx>
          <w:tblLayout w:type="fixed"/>
          <w:tblCellMar>
            <w:top w:w="0" w:type="dxa"/>
            <w:left w:w="108" w:type="dxa"/>
            <w:bottom w:w="0" w:type="dxa"/>
            <w:right w:w="108" w:type="dxa"/>
          </w:tblCellMar>
        </w:tblPrEx>
        <w:trPr>
          <w:trHeight w:val="120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34</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s="宋体"/>
                <w:color w:val="auto"/>
                <w:kern w:val="0"/>
                <w:sz w:val="20"/>
                <w:szCs w:val="20"/>
                <w:highlight w:val="none"/>
                <w:lang w:eastAsia="zh-CN"/>
              </w:rPr>
              <w:t>洪水影响评价类审批</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防洪影响评价报告</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nil"/>
              <w:bottom w:val="single" w:color="auto" w:sz="4" w:space="0"/>
              <w:right w:val="single" w:color="auto" w:sz="4" w:space="0"/>
            </w:tcBorders>
            <w:vAlign w:val="center"/>
          </w:tcPr>
          <w:p>
            <w:pPr>
              <w:widowControl/>
              <w:numPr>
                <w:ilvl w:val="0"/>
                <w:numId w:val="0"/>
              </w:numPr>
              <w:jc w:val="left"/>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1.《中华人民共和国河道管理条例》第二十五条</w:t>
            </w:r>
            <w:r>
              <w:rPr>
                <w:rFonts w:hint="eastAsia" w:ascii="仿宋_GB2312" w:hAnsi="宋体" w:eastAsia="仿宋_GB2312" w:cs="宋体"/>
                <w:color w:val="auto"/>
                <w:kern w:val="0"/>
                <w:sz w:val="20"/>
                <w:szCs w:val="20"/>
                <w:highlight w:val="none"/>
                <w:lang w:eastAsia="zh-CN"/>
              </w:rPr>
              <w:t>；</w:t>
            </w:r>
            <w:r>
              <w:rPr>
                <w:rFonts w:hint="eastAsia" w:ascii="仿宋_GB2312" w:hAnsi="宋体" w:eastAsia="仿宋_GB2312" w:cs="宋体"/>
                <w:color w:val="auto"/>
                <w:kern w:val="0"/>
                <w:sz w:val="20"/>
                <w:szCs w:val="20"/>
                <w:highlight w:val="none"/>
              </w:rPr>
              <w:t>2.《河北省水利工程管理条例》第十七条</w:t>
            </w:r>
            <w:r>
              <w:rPr>
                <w:rFonts w:hint="eastAsia" w:ascii="仿宋_GB2312" w:hAnsi="宋体" w:eastAsia="仿宋_GB2312" w:cs="宋体"/>
                <w:color w:val="auto"/>
                <w:kern w:val="0"/>
                <w:sz w:val="20"/>
                <w:szCs w:val="20"/>
                <w:highlight w:val="none"/>
                <w:lang w:eastAsia="zh-CN"/>
              </w:rPr>
              <w:t>；</w:t>
            </w:r>
            <w:r>
              <w:rPr>
                <w:rFonts w:hint="eastAsia" w:ascii="仿宋_GB2312" w:hAnsi="宋体" w:eastAsia="仿宋_GB2312" w:cs="宋体"/>
                <w:color w:val="auto"/>
                <w:kern w:val="0"/>
                <w:sz w:val="20"/>
                <w:szCs w:val="20"/>
                <w:highlight w:val="none"/>
              </w:rPr>
              <w:t>3.《水利部、国家计划委员会河道管理范围建设项目管理的有关规定》（水政〔1992〕7号）第五条</w:t>
            </w:r>
            <w:r>
              <w:rPr>
                <w:rFonts w:hint="eastAsia" w:ascii="仿宋_GB2312" w:hAnsi="宋体" w:eastAsia="仿宋_GB2312" w:cs="宋体"/>
                <w:color w:val="auto"/>
                <w:kern w:val="0"/>
                <w:sz w:val="20"/>
                <w:szCs w:val="20"/>
                <w:highlight w:val="none"/>
                <w:lang w:eastAsia="zh-CN"/>
              </w:rPr>
              <w:t>；</w:t>
            </w:r>
            <w:r>
              <w:rPr>
                <w:rFonts w:hint="eastAsia" w:ascii="仿宋_GB2312" w:hAnsi="宋体" w:eastAsia="仿宋_GB2312" w:cs="宋体"/>
                <w:color w:val="auto"/>
                <w:kern w:val="0"/>
                <w:sz w:val="20"/>
                <w:szCs w:val="20"/>
                <w:highlight w:val="none"/>
              </w:rPr>
              <w:t>4.《河北省河道管理范围内建设项目管理办法（暂行）》（冀水建管〔2007〕115号）第十条</w:t>
            </w:r>
            <w:r>
              <w:rPr>
                <w:rFonts w:hint="eastAsia" w:ascii="仿宋_GB2312" w:hAnsi="宋体" w:eastAsia="仿宋_GB2312" w:cs="宋体"/>
                <w:color w:val="auto"/>
                <w:kern w:val="0"/>
                <w:sz w:val="20"/>
                <w:szCs w:val="20"/>
                <w:highlight w:val="none"/>
                <w:lang w:eastAsia="zh-CN"/>
              </w:rPr>
              <w:t>；</w:t>
            </w:r>
            <w:r>
              <w:rPr>
                <w:rFonts w:hint="eastAsia" w:ascii="仿宋_GB2312" w:hAnsi="宋体" w:eastAsia="仿宋_GB2312" w:cs="宋体"/>
                <w:color w:val="auto"/>
                <w:kern w:val="0"/>
                <w:sz w:val="20"/>
                <w:szCs w:val="20"/>
                <w:highlight w:val="none"/>
              </w:rPr>
              <w:t>5.《水利部关于进一步加强和规范河道管理范围内建设项目审批管理的通知》（水建管〔2001〕618号）</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具有编制河道管理范围内建设项目防洪评价报告能力且具有独立法人资格的企事业单位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除具备相应资质的中介机构编制外，也可由申请人自行编制</w:t>
            </w:r>
          </w:p>
        </w:tc>
      </w:tr>
      <w:tr>
        <w:tblPrEx>
          <w:tblLayout w:type="fixed"/>
          <w:tblCellMar>
            <w:top w:w="0" w:type="dxa"/>
            <w:left w:w="108" w:type="dxa"/>
            <w:bottom w:w="0" w:type="dxa"/>
            <w:right w:w="108" w:type="dxa"/>
          </w:tblCellMar>
        </w:tblPrEx>
        <w:trPr>
          <w:trHeight w:val="48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35</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s="宋体"/>
                <w:color w:val="auto"/>
                <w:kern w:val="0"/>
                <w:sz w:val="20"/>
                <w:szCs w:val="20"/>
                <w:highlight w:val="none"/>
              </w:rPr>
              <w:t>企业设立、变更、注销登记</w:t>
            </w:r>
            <w:r>
              <w:rPr>
                <w:rFonts w:hint="eastAsia" w:ascii="仿宋_GB2312" w:hAnsi="宋体" w:eastAsia="仿宋_GB2312" w:cs="宋体"/>
                <w:color w:val="auto"/>
                <w:kern w:val="0"/>
                <w:sz w:val="20"/>
                <w:szCs w:val="20"/>
                <w:highlight w:val="none"/>
                <w:lang w:eastAsia="zh-CN"/>
              </w:rPr>
              <w:t>（仅限非公司企业法人设立、注册资本变更）</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验证企业注册资本</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《中华人民共和国公司登记管理条例》（国务院令第</w:t>
            </w:r>
            <w:r>
              <w:rPr>
                <w:rFonts w:ascii="仿宋_GB2312" w:hAnsi="宋体" w:eastAsia="仿宋_GB2312" w:cs="宋体"/>
                <w:color w:val="auto"/>
                <w:kern w:val="0"/>
                <w:sz w:val="20"/>
                <w:szCs w:val="20"/>
                <w:highlight w:val="none"/>
              </w:rPr>
              <w:t>451</w:t>
            </w:r>
            <w:r>
              <w:rPr>
                <w:rFonts w:hint="eastAsia" w:ascii="仿宋_GB2312" w:hAnsi="宋体" w:eastAsia="仿宋_GB2312" w:cs="宋体"/>
                <w:color w:val="auto"/>
                <w:kern w:val="0"/>
                <w:sz w:val="20"/>
                <w:szCs w:val="20"/>
                <w:highlight w:val="none"/>
              </w:rPr>
              <w:t>号）第二十一条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具有相应资质的单位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48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36</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非煤矿矿山建设项目安全设施设计审查</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非煤矿山安全现状评价</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《非煤矿山企业安全许可证实施办法》（国家安监总局令第</w:t>
            </w:r>
            <w:r>
              <w:rPr>
                <w:rFonts w:ascii="仿宋_GB2312" w:hAnsi="宋体" w:eastAsia="仿宋_GB2312" w:cs="宋体"/>
                <w:color w:val="auto"/>
                <w:kern w:val="0"/>
                <w:sz w:val="20"/>
                <w:szCs w:val="20"/>
                <w:highlight w:val="none"/>
              </w:rPr>
              <w:t>20</w:t>
            </w:r>
            <w:r>
              <w:rPr>
                <w:rFonts w:hint="eastAsia" w:ascii="仿宋_GB2312" w:hAnsi="宋体" w:eastAsia="仿宋_GB2312" w:cs="宋体"/>
                <w:color w:val="auto"/>
                <w:kern w:val="0"/>
                <w:sz w:val="20"/>
                <w:szCs w:val="20"/>
                <w:highlight w:val="none"/>
              </w:rPr>
              <w:t>号）</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具有甲级或乙级资质的相关中介机构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1239"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37</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s="宋体"/>
                <w:color w:val="auto"/>
                <w:kern w:val="0"/>
                <w:sz w:val="20"/>
                <w:szCs w:val="20"/>
                <w:highlight w:val="none"/>
              </w:rPr>
              <w:t>安全设施设计</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nil"/>
              <w:left w:val="nil"/>
              <w:bottom w:val="single" w:color="auto" w:sz="4" w:space="0"/>
              <w:right w:val="single" w:color="auto" w:sz="4" w:space="0"/>
            </w:tcBorders>
            <w:vAlign w:val="center"/>
          </w:tcPr>
          <w:p>
            <w:pPr>
              <w:widowControl/>
              <w:numPr>
                <w:ilvl w:val="0"/>
                <w:numId w:val="0"/>
              </w:numPr>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lang w:val="en-US" w:eastAsia="zh-CN"/>
              </w:rPr>
              <w:t>1.</w:t>
            </w:r>
            <w:r>
              <w:rPr>
                <w:rFonts w:hint="eastAsia" w:ascii="仿宋_GB2312" w:hAnsi="宋体" w:eastAsia="仿宋_GB2312" w:cs="宋体"/>
                <w:color w:val="auto"/>
                <w:kern w:val="0"/>
                <w:sz w:val="20"/>
                <w:szCs w:val="20"/>
                <w:highlight w:val="none"/>
              </w:rPr>
              <w:t>《安全生产法》；</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、《关于印发非煤矿山建设项目初步设计安全专篇编写提纲和安全设施设计审查与竣工验收有关表格格式的通知》（安监总管一字〔</w:t>
            </w:r>
            <w:r>
              <w:rPr>
                <w:rFonts w:ascii="仿宋_GB2312" w:hAnsi="宋体" w:eastAsia="仿宋_GB2312" w:cs="宋体"/>
                <w:color w:val="auto"/>
                <w:kern w:val="0"/>
                <w:sz w:val="20"/>
                <w:szCs w:val="20"/>
                <w:highlight w:val="none"/>
              </w:rPr>
              <w:t>2015</w:t>
            </w:r>
            <w:r>
              <w:rPr>
                <w:rFonts w:hint="eastAsia" w:ascii="仿宋_GB2312" w:hAnsi="宋体" w:eastAsia="仿宋_GB2312" w:cs="宋体"/>
                <w:color w:val="auto"/>
                <w:kern w:val="0"/>
                <w:sz w:val="20"/>
                <w:szCs w:val="20"/>
                <w:highlight w:val="none"/>
              </w:rPr>
              <w:t>〕</w:t>
            </w:r>
            <w:r>
              <w:rPr>
                <w:rFonts w:ascii="仿宋_GB2312" w:hAnsi="宋体" w:eastAsia="仿宋_GB2312" w:cs="宋体"/>
                <w:color w:val="auto"/>
                <w:kern w:val="0"/>
                <w:sz w:val="20"/>
                <w:szCs w:val="20"/>
                <w:highlight w:val="none"/>
              </w:rPr>
              <w:t>29</w:t>
            </w:r>
            <w:r>
              <w:rPr>
                <w:rFonts w:hint="eastAsia" w:ascii="仿宋_GB2312" w:hAnsi="宋体" w:eastAsia="仿宋_GB2312" w:cs="宋体"/>
                <w:color w:val="auto"/>
                <w:kern w:val="0"/>
                <w:sz w:val="20"/>
                <w:szCs w:val="20"/>
                <w:highlight w:val="none"/>
              </w:rPr>
              <w:t>号）</w:t>
            </w:r>
          </w:p>
        </w:tc>
        <w:tc>
          <w:tcPr>
            <w:tcW w:w="226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s="宋体"/>
                <w:color w:val="auto"/>
                <w:kern w:val="0"/>
                <w:sz w:val="20"/>
                <w:szCs w:val="20"/>
                <w:highlight w:val="none"/>
              </w:rPr>
              <w:t>具有甲级或乙级资质的相关</w:t>
            </w:r>
            <w:r>
              <w:rPr>
                <w:rFonts w:hint="eastAsia" w:ascii="仿宋_GB2312" w:hAnsi="宋体" w:eastAsia="仿宋_GB2312" w:cs="宋体"/>
                <w:color w:val="auto"/>
                <w:kern w:val="0"/>
                <w:sz w:val="20"/>
                <w:szCs w:val="20"/>
                <w:highlight w:val="none"/>
                <w:lang w:eastAsia="zh-CN"/>
              </w:rPr>
              <w:t>设计单位</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60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38</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非煤矿山安全验收评价</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《非煤矿山企业安全许可证实施办法》（国家安监总局令第</w:t>
            </w:r>
            <w:r>
              <w:rPr>
                <w:rFonts w:ascii="仿宋_GB2312" w:hAnsi="宋体" w:eastAsia="仿宋_GB2312" w:cs="宋体"/>
                <w:color w:val="auto"/>
                <w:kern w:val="0"/>
                <w:sz w:val="20"/>
                <w:szCs w:val="20"/>
                <w:highlight w:val="none"/>
              </w:rPr>
              <w:t>20</w:t>
            </w:r>
            <w:r>
              <w:rPr>
                <w:rFonts w:hint="eastAsia" w:ascii="仿宋_GB2312" w:hAnsi="宋体" w:eastAsia="仿宋_GB2312" w:cs="宋体"/>
                <w:color w:val="auto"/>
                <w:kern w:val="0"/>
                <w:sz w:val="20"/>
                <w:szCs w:val="20"/>
                <w:highlight w:val="none"/>
              </w:rPr>
              <w:t>号</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具有甲级或乙级资质的相关中介机构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2098"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p>
          <w:p>
            <w:pPr>
              <w:widowControl/>
              <w:jc w:val="center"/>
              <w:rPr>
                <w:rFonts w:ascii="仿宋_GB2312" w:hAnsi="宋体" w:eastAsia="仿宋_GB2312" w:cs="宋体"/>
                <w:color w:val="auto"/>
                <w:kern w:val="0"/>
                <w:sz w:val="20"/>
                <w:szCs w:val="20"/>
                <w:highlight w:val="none"/>
                <w:lang w:val="en-US"/>
              </w:rPr>
            </w:pPr>
            <w:r>
              <w:rPr>
                <w:rFonts w:hint="eastAsia" w:ascii="仿宋_GB2312" w:hAnsi="宋体" w:eastAsia="仿宋_GB2312" w:cs="宋体"/>
                <w:color w:val="auto"/>
                <w:kern w:val="0"/>
                <w:sz w:val="20"/>
                <w:szCs w:val="20"/>
                <w:highlight w:val="none"/>
                <w:lang w:val="en-US" w:eastAsia="zh-CN"/>
              </w:rPr>
              <w:t>39</w:t>
            </w:r>
          </w:p>
          <w:p>
            <w:pPr>
              <w:widowControl/>
              <w:ind w:firstLine="105" w:firstLineChars="50"/>
              <w:rPr>
                <w:rFonts w:ascii="仿宋_GB2312" w:hAnsi="宋体" w:eastAsia="仿宋_GB2312" w:cs="宋体"/>
                <w:color w:val="auto"/>
                <w:kern w:val="0"/>
                <w:sz w:val="20"/>
                <w:szCs w:val="20"/>
                <w:highlight w:val="none"/>
              </w:rPr>
            </w:pPr>
            <w:r>
              <w:rPr>
                <w:color w:val="auto"/>
                <w:highlight w:val="none"/>
              </w:rPr>
              <w:pict>
                <v:shape id="_x0000_s1060" o:spid="_x0000_s1060" o:spt="202" type="#_x0000_t202" style="position:absolute;left:0pt;margin-left:-52.4pt;margin-top:123.5pt;height:79.45pt;width:43.5pt;z-index:251667456;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p>
                    </w:txbxContent>
                  </v:textbox>
                </v:shape>
              </w:pic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s="宋体"/>
                <w:color w:val="auto"/>
                <w:kern w:val="0"/>
                <w:sz w:val="20"/>
                <w:szCs w:val="20"/>
                <w:highlight w:val="none"/>
                <w:lang w:eastAsia="zh-CN"/>
              </w:rPr>
              <w:t>涉及人身安全、危险性较大矿山井下特种设备检测检验</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《非煤矿山企业安全许可证实施办法》（国家安监总局令第</w:t>
            </w:r>
            <w:r>
              <w:rPr>
                <w:rFonts w:ascii="仿宋_GB2312" w:hAnsi="宋体" w:eastAsia="仿宋_GB2312" w:cs="宋体"/>
                <w:color w:val="auto"/>
                <w:kern w:val="0"/>
                <w:sz w:val="20"/>
                <w:szCs w:val="20"/>
                <w:highlight w:val="none"/>
              </w:rPr>
              <w:t>20</w:t>
            </w:r>
            <w:r>
              <w:rPr>
                <w:rFonts w:hint="eastAsia" w:ascii="仿宋_GB2312" w:hAnsi="宋体" w:eastAsia="仿宋_GB2312" w:cs="宋体"/>
                <w:color w:val="auto"/>
                <w:kern w:val="0"/>
                <w:sz w:val="20"/>
                <w:szCs w:val="20"/>
                <w:highlight w:val="none"/>
              </w:rPr>
              <w:t>号）</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w w:val="90"/>
                <w:kern w:val="0"/>
                <w:sz w:val="20"/>
                <w:szCs w:val="20"/>
                <w:highlight w:val="none"/>
              </w:rPr>
            </w:pPr>
            <w:r>
              <w:rPr>
                <w:rFonts w:hint="eastAsia" w:ascii="仿宋_GB2312" w:hAnsi="宋体" w:eastAsia="仿宋_GB2312" w:cs="宋体"/>
                <w:color w:val="auto"/>
                <w:w w:val="90"/>
                <w:kern w:val="0"/>
                <w:sz w:val="20"/>
                <w:szCs w:val="20"/>
                <w:highlight w:val="none"/>
              </w:rPr>
              <w:t>申请人可委托有关机构实施，审批部门不得以任何形式要求申请人必须委托特定中介机构提供服务</w:t>
            </w:r>
          </w:p>
        </w:tc>
      </w:tr>
      <w:tr>
        <w:tblPrEx>
          <w:tblLayout w:type="fixed"/>
          <w:tblCellMar>
            <w:top w:w="0" w:type="dxa"/>
            <w:left w:w="108" w:type="dxa"/>
            <w:bottom w:w="0" w:type="dxa"/>
            <w:right w:w="108" w:type="dxa"/>
          </w:tblCellMar>
        </w:tblPrEx>
        <w:trPr>
          <w:trHeight w:val="1224"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40</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生产、储存烟花爆竹建设项目安全设施设计审查</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s="宋体"/>
                <w:color w:val="auto"/>
                <w:kern w:val="0"/>
                <w:sz w:val="20"/>
                <w:szCs w:val="20"/>
                <w:highlight w:val="none"/>
              </w:rPr>
              <w:t>建设项目安全设施设计</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《中华人民共和国安全生产法》；</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、《建设项目安全设施“三同时”监督管理暂行办法》（国家安监总局令</w:t>
            </w:r>
            <w:r>
              <w:rPr>
                <w:rFonts w:ascii="仿宋_GB2312" w:hAnsi="宋体" w:eastAsia="仿宋_GB2312" w:cs="宋体"/>
                <w:color w:val="auto"/>
                <w:kern w:val="0"/>
                <w:sz w:val="20"/>
                <w:szCs w:val="20"/>
                <w:highlight w:val="none"/>
              </w:rPr>
              <w:t>36</w:t>
            </w:r>
            <w:r>
              <w:rPr>
                <w:rFonts w:hint="eastAsia" w:ascii="仿宋_GB2312" w:hAnsi="宋体" w:eastAsia="仿宋_GB2312" w:cs="宋体"/>
                <w:color w:val="auto"/>
                <w:kern w:val="0"/>
                <w:sz w:val="20"/>
                <w:szCs w:val="20"/>
                <w:highlight w:val="none"/>
              </w:rPr>
              <w:t>号）</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具有相应资质的设计单位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108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41</w:t>
            </w:r>
          </w:p>
        </w:tc>
        <w:tc>
          <w:tcPr>
            <w:tcW w:w="1417" w:type="dxa"/>
            <w:tcBorders>
              <w:top w:val="single" w:color="auto" w:sz="4" w:space="0"/>
              <w:left w:val="nil"/>
              <w:bottom w:val="nil"/>
              <w:right w:val="single" w:color="auto" w:sz="4" w:space="0"/>
            </w:tcBorders>
            <w:vAlign w:val="center"/>
          </w:tcPr>
          <w:p>
            <w:pPr>
              <w:widowControl/>
              <w:jc w:val="left"/>
              <w:rPr>
                <w:rFonts w:hint="eastAsia" w:ascii="仿宋_GB2312" w:hAnsi="宋体" w:eastAsia="仿宋_GB2312" w:cs="宋体"/>
                <w:color w:val="auto"/>
                <w:kern w:val="0"/>
                <w:sz w:val="20"/>
                <w:szCs w:val="20"/>
                <w:highlight w:val="none"/>
              </w:rPr>
            </w:pPr>
            <w:r>
              <w:rPr>
                <w:rFonts w:hint="eastAsia" w:ascii="仿宋" w:hAnsi="仿宋" w:eastAsia="仿宋" w:cs="宋体"/>
                <w:color w:val="auto"/>
                <w:kern w:val="0"/>
                <w:szCs w:val="21"/>
                <w:highlight w:val="none"/>
              </w:rPr>
              <w:t>金属冶炼建设项目安全设施设计审查</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rPr>
            </w:pPr>
            <w:r>
              <w:rPr>
                <w:rFonts w:hint="eastAsia" w:ascii="仿宋" w:hAnsi="仿宋" w:eastAsia="仿宋" w:cs="宋体"/>
                <w:color w:val="auto"/>
                <w:kern w:val="0"/>
                <w:szCs w:val="21"/>
                <w:highlight w:val="none"/>
              </w:rPr>
              <w:t>建设项目安全设施设计</w:t>
            </w:r>
          </w:p>
        </w:tc>
        <w:tc>
          <w:tcPr>
            <w:tcW w:w="1559" w:type="dxa"/>
            <w:tcBorders>
              <w:top w:val="single" w:color="auto" w:sz="4" w:space="0"/>
              <w:left w:val="nil"/>
              <w:bottom w:val="nil"/>
              <w:right w:val="single" w:color="auto" w:sz="4" w:space="0"/>
            </w:tcBorders>
            <w:vAlign w:val="center"/>
          </w:tcPr>
          <w:p>
            <w:pPr>
              <w:widowControl/>
              <w:spacing w:line="300" w:lineRule="exact"/>
              <w:jc w:val="center"/>
              <w:rPr>
                <w:rFonts w:hint="eastAsia" w:ascii="仿宋_GB2312" w:hAnsi="宋体" w:eastAsia="仿宋_GB2312" w:cs="宋体"/>
                <w:color w:val="auto"/>
                <w:kern w:val="0"/>
                <w:sz w:val="20"/>
                <w:szCs w:val="20"/>
                <w:highlight w:val="none"/>
              </w:rPr>
            </w:pPr>
            <w:r>
              <w:rPr>
                <w:rFonts w:hint="eastAsia" w:ascii="仿宋" w:hAnsi="仿宋" w:eastAsia="仿宋" w:cs="宋体"/>
                <w:color w:val="auto"/>
                <w:kern w:val="0"/>
                <w:szCs w:val="21"/>
                <w:highlight w:val="none"/>
              </w:rPr>
              <w:t>区行政审批局</w:t>
            </w:r>
          </w:p>
        </w:tc>
        <w:tc>
          <w:tcPr>
            <w:tcW w:w="4962"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rPr>
            </w:pPr>
            <w:r>
              <w:rPr>
                <w:rFonts w:hint="eastAsia" w:ascii="仿宋" w:hAnsi="仿宋" w:eastAsia="仿宋" w:cs="宋体"/>
                <w:color w:val="auto"/>
                <w:kern w:val="0"/>
                <w:szCs w:val="21"/>
                <w:highlight w:val="none"/>
              </w:rPr>
              <w:t>《中华人民共和国安全生产法》第30条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rPr>
            </w:pPr>
            <w:r>
              <w:rPr>
                <w:rFonts w:hint="eastAsia" w:ascii="仿宋" w:hAnsi="仿宋" w:eastAsia="仿宋" w:cs="宋体"/>
                <w:color w:val="auto"/>
                <w:kern w:val="0"/>
                <w:szCs w:val="21"/>
                <w:highlight w:val="none"/>
              </w:rPr>
              <w:t>具有甲级或乙级资质的相关设计单位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rPr>
            </w:pPr>
            <w:r>
              <w:rPr>
                <w:rFonts w:hint="eastAsia" w:ascii="仿宋" w:hAnsi="仿宋" w:eastAsia="仿宋" w:cs="宋体"/>
                <w:color w:val="auto"/>
                <w:kern w:val="0"/>
                <w:szCs w:val="21"/>
                <w:highlight w:val="none"/>
              </w:rPr>
              <w:t>保留程序不变</w:t>
            </w:r>
          </w:p>
        </w:tc>
      </w:tr>
      <w:tr>
        <w:tblPrEx>
          <w:tblLayout w:type="fixed"/>
          <w:tblCellMar>
            <w:top w:w="0" w:type="dxa"/>
            <w:left w:w="108" w:type="dxa"/>
            <w:bottom w:w="0" w:type="dxa"/>
            <w:right w:w="108" w:type="dxa"/>
          </w:tblCellMar>
        </w:tblPrEx>
        <w:trPr>
          <w:trHeight w:val="3247"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both"/>
              <w:rPr>
                <w:rFonts w:hint="eastAsia" w:ascii="仿宋_GB2312" w:hAnsi="宋体" w:eastAsia="仿宋_GB2312" w:cs="宋体"/>
                <w:color w:val="auto"/>
                <w:kern w:val="0"/>
                <w:sz w:val="20"/>
                <w:szCs w:val="20"/>
                <w:highlight w:val="none"/>
                <w:lang w:val="en-US" w:eastAsia="zh-CN"/>
              </w:rPr>
            </w:pPr>
          </w:p>
          <w:p>
            <w:pPr>
              <w:widowControl/>
              <w:jc w:val="center"/>
              <w:rPr>
                <w:rFonts w:hint="eastAsia" w:ascii="仿宋_GB2312" w:hAnsi="宋体" w:eastAsia="仿宋_GB2312" w:cs="宋体"/>
                <w:color w:val="auto"/>
                <w:kern w:val="0"/>
                <w:sz w:val="20"/>
                <w:szCs w:val="20"/>
                <w:highlight w:val="none"/>
                <w:lang w:val="en-US" w:eastAsia="zh-CN"/>
              </w:rPr>
            </w:pPr>
          </w:p>
          <w:p>
            <w:pPr>
              <w:widowControl/>
              <w:jc w:val="center"/>
              <w:rPr>
                <w:rFonts w:hint="eastAsia" w:ascii="仿宋_GB2312" w:hAnsi="宋体" w:eastAsia="仿宋_GB2312" w:cs="宋体"/>
                <w:color w:val="auto"/>
                <w:kern w:val="0"/>
                <w:sz w:val="20"/>
                <w:szCs w:val="20"/>
                <w:highlight w:val="none"/>
                <w:lang w:val="en-US" w:eastAsia="zh-CN"/>
              </w:rPr>
            </w:pPr>
          </w:p>
          <w:p>
            <w:pPr>
              <w:widowControl/>
              <w:jc w:val="center"/>
              <w:rPr>
                <w:rFonts w:hint="eastAsia" w:ascii="仿宋_GB2312" w:hAnsi="宋体" w:eastAsia="仿宋_GB2312" w:cs="宋体"/>
                <w:color w:val="auto"/>
                <w:kern w:val="0"/>
                <w:sz w:val="20"/>
                <w:szCs w:val="20"/>
                <w:highlight w:val="none"/>
                <w:lang w:val="en-US" w:eastAsia="zh-CN"/>
              </w:rPr>
            </w:pPr>
          </w:p>
          <w:p>
            <w:pPr>
              <w:widowControl/>
              <w:jc w:val="both"/>
              <w:rPr>
                <w:rFonts w:hint="eastAsia" w:ascii="仿宋_GB2312" w:hAnsi="宋体" w:eastAsia="仿宋_GB2312" w:cs="宋体"/>
                <w:color w:val="auto"/>
                <w:kern w:val="0"/>
                <w:sz w:val="20"/>
                <w:szCs w:val="20"/>
                <w:highlight w:val="none"/>
                <w:lang w:val="en-US" w:eastAsia="zh-CN"/>
              </w:rPr>
            </w:pPr>
          </w:p>
          <w:p>
            <w:pPr>
              <w:widowControl/>
              <w:ind w:firstLine="200" w:firstLineChars="100"/>
              <w:jc w:val="both"/>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42</w:t>
            </w:r>
          </w:p>
          <w:p>
            <w:pPr>
              <w:widowControl/>
              <w:jc w:val="both"/>
              <w:rPr>
                <w:rFonts w:ascii="仿宋_GB2312" w:hAnsi="宋体" w:eastAsia="仿宋_GB2312" w:cs="宋体"/>
                <w:color w:val="auto"/>
                <w:kern w:val="0"/>
                <w:sz w:val="20"/>
                <w:szCs w:val="20"/>
                <w:highlight w:val="none"/>
              </w:rPr>
            </w:pPr>
          </w:p>
          <w:p>
            <w:pPr>
              <w:widowControl/>
              <w:jc w:val="center"/>
              <w:rPr>
                <w:rFonts w:ascii="仿宋_GB2312" w:hAnsi="宋体" w:eastAsia="仿宋_GB2312" w:cs="宋体"/>
                <w:color w:val="auto"/>
                <w:kern w:val="0"/>
                <w:sz w:val="20"/>
                <w:szCs w:val="20"/>
                <w:highlight w:val="none"/>
              </w:rPr>
            </w:pPr>
          </w:p>
          <w:p>
            <w:pPr>
              <w:widowControl/>
              <w:jc w:val="both"/>
              <w:rPr>
                <w:rFonts w:hint="eastAsia" w:ascii="仿宋_GB2312" w:hAnsi="宋体" w:eastAsia="宋体" w:cs="宋体"/>
                <w:color w:val="auto"/>
                <w:kern w:val="0"/>
                <w:sz w:val="20"/>
                <w:szCs w:val="20"/>
                <w:highlight w:val="none"/>
                <w:lang w:val="en-US" w:eastAsia="zh-CN"/>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s="宋体"/>
                <w:color w:val="auto"/>
                <w:kern w:val="0"/>
                <w:sz w:val="20"/>
                <w:szCs w:val="20"/>
                <w:highlight w:val="none"/>
              </w:rPr>
              <w:t>建设项目环境保护设施竣工验收</w:t>
            </w:r>
            <w:r>
              <w:rPr>
                <w:rFonts w:hint="eastAsia" w:ascii="仿宋_GB2312" w:hAnsi="宋体" w:eastAsia="仿宋_GB2312" w:cs="宋体"/>
                <w:color w:val="auto"/>
                <w:kern w:val="0"/>
                <w:sz w:val="20"/>
                <w:szCs w:val="20"/>
                <w:highlight w:val="none"/>
                <w:lang w:eastAsia="zh-CN"/>
              </w:rPr>
              <w:t>（噪声和固体废物）</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服务性环境监测</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s="宋体"/>
                <w:color w:val="auto"/>
                <w:kern w:val="0"/>
                <w:sz w:val="20"/>
                <w:szCs w:val="20"/>
                <w:highlight w:val="none"/>
              </w:rPr>
              <w:t>区</w:t>
            </w:r>
            <w:r>
              <w:rPr>
                <w:rFonts w:hint="eastAsia" w:ascii="仿宋_GB2312" w:hAnsi="宋体" w:eastAsia="仿宋_GB2312" w:cs="宋体"/>
                <w:color w:val="auto"/>
                <w:kern w:val="0"/>
                <w:sz w:val="20"/>
                <w:szCs w:val="20"/>
                <w:highlight w:val="none"/>
                <w:lang w:eastAsia="zh-CN"/>
              </w:rPr>
              <w:t>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《建设项目环境保护管理条例》</w:t>
            </w:r>
            <w:r>
              <w:rPr>
                <w:rFonts w:hint="eastAsia" w:ascii="仿宋_GB2312" w:hAnsi="宋体" w:eastAsia="仿宋_GB2312" w:cs="宋体"/>
                <w:color w:val="auto"/>
                <w:kern w:val="0"/>
                <w:sz w:val="20"/>
                <w:szCs w:val="20"/>
                <w:highlight w:val="none"/>
              </w:rPr>
              <w:t>（国务院令第</w:t>
            </w:r>
            <w:r>
              <w:rPr>
                <w:rFonts w:hint="eastAsia" w:ascii="仿宋_GB2312" w:hAnsi="宋体" w:eastAsia="仿宋_GB2312" w:cs="宋体"/>
                <w:color w:val="auto"/>
                <w:kern w:val="0"/>
                <w:sz w:val="20"/>
                <w:szCs w:val="20"/>
                <w:highlight w:val="none"/>
                <w:lang w:val="en-US" w:eastAsia="zh-CN"/>
              </w:rPr>
              <w:t>682</w:t>
            </w:r>
            <w:r>
              <w:rPr>
                <w:rFonts w:hint="eastAsia" w:ascii="仿宋_GB2312" w:hAnsi="宋体" w:eastAsia="仿宋_GB2312" w:cs="宋体"/>
                <w:color w:val="auto"/>
                <w:kern w:val="0"/>
                <w:sz w:val="20"/>
                <w:szCs w:val="20"/>
                <w:highlight w:val="none"/>
              </w:rPr>
              <w:t>号）第十</w:t>
            </w:r>
            <w:r>
              <w:rPr>
                <w:rFonts w:hint="eastAsia" w:ascii="仿宋_GB2312" w:hAnsi="宋体" w:eastAsia="仿宋_GB2312" w:cs="宋体"/>
                <w:color w:val="auto"/>
                <w:kern w:val="0"/>
                <w:sz w:val="20"/>
                <w:szCs w:val="20"/>
                <w:highlight w:val="none"/>
                <w:lang w:eastAsia="zh-CN"/>
              </w:rPr>
              <w:t>七</w:t>
            </w:r>
            <w:r>
              <w:rPr>
                <w:rFonts w:hint="eastAsia" w:ascii="仿宋_GB2312" w:hAnsi="宋体" w:eastAsia="仿宋_GB2312" w:cs="宋体"/>
                <w:color w:val="auto"/>
                <w:kern w:val="0"/>
                <w:sz w:val="20"/>
                <w:szCs w:val="20"/>
                <w:highlight w:val="none"/>
              </w:rPr>
              <w:t>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具有相应资质的环境监测机构、环境放射性监测机构、环境影响评价机构等有关技术单位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编制环境影响报告书，环境影响报告表的建设项目，不再要求申请人提供建设项目竣工环境保护验收监测报告（表）或调查报告（表）。</w:t>
            </w:r>
          </w:p>
        </w:tc>
      </w:tr>
      <w:tr>
        <w:tblPrEx>
          <w:tblLayout w:type="fixed"/>
          <w:tblCellMar>
            <w:top w:w="0" w:type="dxa"/>
            <w:left w:w="108" w:type="dxa"/>
            <w:bottom w:w="0" w:type="dxa"/>
            <w:right w:w="108" w:type="dxa"/>
          </w:tblCellMar>
        </w:tblPrEx>
        <w:trPr>
          <w:trHeight w:val="473"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43</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排污许可</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服务性环境监测</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s="宋体"/>
                <w:color w:val="auto"/>
                <w:kern w:val="0"/>
                <w:sz w:val="20"/>
                <w:szCs w:val="20"/>
                <w:highlight w:val="none"/>
              </w:rPr>
              <w:t>区</w:t>
            </w:r>
            <w:r>
              <w:rPr>
                <w:rFonts w:hint="eastAsia" w:ascii="仿宋_GB2312" w:hAnsi="宋体" w:eastAsia="仿宋_GB2312" w:cs="宋体"/>
                <w:color w:val="auto"/>
                <w:kern w:val="0"/>
                <w:sz w:val="20"/>
                <w:szCs w:val="20"/>
                <w:highlight w:val="none"/>
                <w:lang w:eastAsia="zh-CN"/>
              </w:rPr>
              <w:t>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《河北省达标排污许可管理办法》第五条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具有相应资质的单位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72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44</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排污许可技术服务</w:t>
            </w:r>
          </w:p>
        </w:tc>
        <w:tc>
          <w:tcPr>
            <w:tcW w:w="1559" w:type="dxa"/>
            <w:tcBorders>
              <w:top w:val="single" w:color="auto" w:sz="4" w:space="0"/>
              <w:left w:val="nil"/>
              <w:bottom w:val="nil"/>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eastAsia="zh-CN"/>
              </w:rPr>
            </w:pPr>
            <w:r>
              <w:rPr>
                <w:rFonts w:hint="eastAsia" w:ascii="仿宋_GB2312" w:hAnsi="宋体" w:eastAsia="仿宋_GB2312" w:cs="宋体"/>
                <w:color w:val="auto"/>
                <w:kern w:val="0"/>
                <w:sz w:val="20"/>
                <w:szCs w:val="20"/>
                <w:highlight w:val="none"/>
              </w:rPr>
              <w:t>区</w:t>
            </w:r>
            <w:r>
              <w:rPr>
                <w:rFonts w:hint="eastAsia" w:ascii="仿宋_GB2312" w:hAnsi="宋体" w:eastAsia="仿宋_GB2312" w:cs="宋体"/>
                <w:color w:val="auto"/>
                <w:kern w:val="0"/>
                <w:sz w:val="20"/>
                <w:szCs w:val="20"/>
                <w:highlight w:val="none"/>
                <w:lang w:eastAsia="zh-CN"/>
              </w:rPr>
              <w:t>行政审批局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w:t>
            </w:r>
            <w:r>
              <w:rPr>
                <w:rFonts w:hint="eastAsia" w:ascii="仿宋_GB2312" w:hAnsi="宋体" w:eastAsia="仿宋_GB2312" w:cs="宋体"/>
                <w:color w:val="auto"/>
                <w:kern w:val="0"/>
                <w:sz w:val="20"/>
                <w:szCs w:val="20"/>
                <w:highlight w:val="none"/>
              </w:rPr>
              <w:t>《河北省达标排污许可管理办法》第五条；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《河北省达标排污许可管理办法实施细则》（冀环总〔</w:t>
            </w:r>
            <w:r>
              <w:rPr>
                <w:rFonts w:ascii="仿宋_GB2312" w:hAnsi="宋体" w:eastAsia="仿宋_GB2312" w:cs="宋体"/>
                <w:color w:val="auto"/>
                <w:kern w:val="0"/>
                <w:sz w:val="20"/>
                <w:szCs w:val="20"/>
                <w:highlight w:val="none"/>
              </w:rPr>
              <w:t>2015</w:t>
            </w:r>
            <w:r>
              <w:rPr>
                <w:rFonts w:hint="eastAsia" w:ascii="仿宋_GB2312" w:hAnsi="宋体" w:eastAsia="仿宋_GB2312" w:cs="宋体"/>
                <w:color w:val="auto"/>
                <w:kern w:val="0"/>
                <w:sz w:val="20"/>
                <w:szCs w:val="20"/>
                <w:highlight w:val="none"/>
              </w:rPr>
              <w:t>〕</w:t>
            </w:r>
            <w:r>
              <w:rPr>
                <w:rFonts w:ascii="仿宋_GB2312" w:hAnsi="宋体" w:eastAsia="仿宋_GB2312" w:cs="宋体"/>
                <w:color w:val="auto"/>
                <w:kern w:val="0"/>
                <w:sz w:val="20"/>
                <w:szCs w:val="20"/>
                <w:highlight w:val="none"/>
              </w:rPr>
              <w:t>274</w:t>
            </w:r>
            <w:r>
              <w:rPr>
                <w:rFonts w:hint="eastAsia" w:ascii="仿宋_GB2312" w:hAnsi="宋体" w:eastAsia="仿宋_GB2312" w:cs="宋体"/>
                <w:color w:val="auto"/>
                <w:kern w:val="0"/>
                <w:sz w:val="20"/>
                <w:szCs w:val="20"/>
                <w:highlight w:val="none"/>
              </w:rPr>
              <w:t>号）第十一条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具有相应资质的单位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w w:val="80"/>
                <w:kern w:val="0"/>
                <w:sz w:val="20"/>
                <w:szCs w:val="20"/>
                <w:highlight w:val="none"/>
              </w:rPr>
            </w:pPr>
            <w:r>
              <w:rPr>
                <w:rFonts w:hint="eastAsia" w:ascii="仿宋_GB2312" w:hAnsi="宋体" w:eastAsia="仿宋_GB2312" w:cs="宋体"/>
                <w:color w:val="auto"/>
                <w:w w:val="80"/>
                <w:kern w:val="0"/>
                <w:sz w:val="20"/>
                <w:szCs w:val="20"/>
                <w:highlight w:val="none"/>
              </w:rPr>
              <w:t>除具备相应资质的中介机构编制外，也可由申请人自行编制</w:t>
            </w:r>
          </w:p>
          <w:p>
            <w:pPr>
              <w:widowControl/>
              <w:jc w:val="center"/>
              <w:rPr>
                <w:rFonts w:ascii="仿宋_GB2312" w:hAnsi="宋体" w:eastAsia="仿宋_GB2312" w:cs="宋体"/>
                <w:color w:val="auto"/>
                <w:kern w:val="0"/>
                <w:sz w:val="20"/>
                <w:szCs w:val="20"/>
                <w:highlight w:val="none"/>
              </w:rPr>
            </w:pPr>
          </w:p>
        </w:tc>
      </w:tr>
      <w:tr>
        <w:tblPrEx>
          <w:tblLayout w:type="fixed"/>
          <w:tblCellMar>
            <w:top w:w="0" w:type="dxa"/>
            <w:left w:w="108" w:type="dxa"/>
            <w:bottom w:w="0" w:type="dxa"/>
            <w:right w:w="108" w:type="dxa"/>
          </w:tblCellMar>
        </w:tblPrEx>
        <w:trPr>
          <w:trHeight w:val="108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45</w:t>
            </w:r>
          </w:p>
        </w:tc>
        <w:tc>
          <w:tcPr>
            <w:tcW w:w="1417"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金融机构营业场所、金库安全防范设施建设方案审批及工程验收</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安全防范工程系统检测</w:t>
            </w:r>
          </w:p>
        </w:tc>
        <w:tc>
          <w:tcPr>
            <w:tcW w:w="1559"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区公安局</w:t>
            </w:r>
          </w:p>
        </w:tc>
        <w:tc>
          <w:tcPr>
            <w:tcW w:w="4962" w:type="dxa"/>
            <w:tcBorders>
              <w:top w:val="single" w:color="auto" w:sz="4" w:space="0"/>
              <w:left w:val="nil"/>
              <w:bottom w:val="single" w:color="auto" w:sz="4" w:space="0"/>
              <w:right w:val="single" w:color="auto" w:sz="4" w:space="0"/>
            </w:tcBorders>
            <w:vAlign w:val="center"/>
          </w:tcPr>
          <w:p>
            <w:pPr>
              <w:widowControl/>
              <w:numPr>
                <w:ilvl w:val="0"/>
                <w:numId w:val="7"/>
              </w:numPr>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《金融机构营业场所和金库安全防范设施建设许可实施办法》（公安部令第</w:t>
            </w:r>
            <w:r>
              <w:rPr>
                <w:rFonts w:ascii="仿宋_GB2312" w:hAnsi="宋体" w:eastAsia="仿宋_GB2312" w:cs="宋体"/>
                <w:color w:val="auto"/>
                <w:kern w:val="0"/>
                <w:sz w:val="20"/>
                <w:szCs w:val="20"/>
                <w:highlight w:val="none"/>
              </w:rPr>
              <w:t>86</w:t>
            </w:r>
            <w:r>
              <w:rPr>
                <w:rFonts w:hint="eastAsia" w:ascii="仿宋_GB2312" w:hAnsi="宋体" w:eastAsia="仿宋_GB2312" w:cs="宋体"/>
                <w:color w:val="auto"/>
                <w:kern w:val="0"/>
                <w:sz w:val="20"/>
                <w:szCs w:val="20"/>
                <w:highlight w:val="none"/>
              </w:rPr>
              <w:t>号）；</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中华人民共和国公共行业标准《安全防范系统验收规则》</w:t>
            </w:r>
            <w:r>
              <w:rPr>
                <w:rFonts w:ascii="仿宋_GB2312" w:hAnsi="宋体" w:eastAsia="仿宋_GB2312" w:cs="宋体"/>
                <w:color w:val="auto"/>
                <w:kern w:val="0"/>
                <w:sz w:val="20"/>
                <w:szCs w:val="20"/>
                <w:highlight w:val="none"/>
              </w:rPr>
              <w:t>GA-308-2001</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具有相应资质的单位</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46</w:t>
            </w:r>
          </w:p>
        </w:tc>
        <w:tc>
          <w:tcPr>
            <w:tcW w:w="1417" w:type="dxa"/>
            <w:vMerge w:val="restart"/>
            <w:tcBorders>
              <w:top w:val="single" w:color="auto" w:sz="4" w:space="0"/>
              <w:left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采矿权新立、延续、变更登记发证与注销登记</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采矿权设置方案</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区国土局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《国土资源部关于进一步完善采矿权登记管理有关问题的通知》第一条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除具备相应资质的中介机构编制外，也可由申请人自行编制</w:t>
            </w:r>
          </w:p>
        </w:tc>
      </w:tr>
      <w:tr>
        <w:tblPrEx>
          <w:tblLayout w:type="fixed"/>
          <w:tblCellMar>
            <w:top w:w="0" w:type="dxa"/>
            <w:left w:w="108" w:type="dxa"/>
            <w:bottom w:w="0" w:type="dxa"/>
            <w:right w:w="108" w:type="dxa"/>
          </w:tblCellMar>
        </w:tblPrEx>
        <w:trPr>
          <w:trHeight w:val="1714"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47</w:t>
            </w:r>
          </w:p>
        </w:tc>
        <w:tc>
          <w:tcPr>
            <w:tcW w:w="1417"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矿产资源开发利用方案</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区国土局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《矿产资源开采登记管理办法》第四条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除具备相应资质的中介机构编制外，也可由申请人自行编制</w:t>
            </w:r>
          </w:p>
        </w:tc>
      </w:tr>
      <w:tr>
        <w:tblPrEx>
          <w:tblLayout w:type="fixed"/>
          <w:tblCellMar>
            <w:top w:w="0" w:type="dxa"/>
            <w:left w:w="108" w:type="dxa"/>
            <w:bottom w:w="0" w:type="dxa"/>
            <w:right w:w="108" w:type="dxa"/>
          </w:tblCellMar>
        </w:tblPrEx>
        <w:trPr>
          <w:trHeight w:val="72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48</w:t>
            </w:r>
          </w:p>
        </w:tc>
        <w:tc>
          <w:tcPr>
            <w:tcW w:w="1417"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矿产资源储量报告</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区国土局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《矿产资源开采登记管理办法》第四条</w:t>
            </w:r>
          </w:p>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具有相关资质的机构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除具备相应资质的中介机构编制外，也可由申请人自行编制</w:t>
            </w:r>
          </w:p>
        </w:tc>
      </w:tr>
      <w:tr>
        <w:tblPrEx>
          <w:tblLayout w:type="fixed"/>
          <w:tblCellMar>
            <w:top w:w="0" w:type="dxa"/>
            <w:left w:w="108" w:type="dxa"/>
            <w:bottom w:w="0" w:type="dxa"/>
            <w:right w:w="108" w:type="dxa"/>
          </w:tblCellMar>
        </w:tblPrEx>
        <w:trPr>
          <w:trHeight w:val="153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49</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采矿权新立、延续、变更登记发证与注销登记</w:t>
            </w:r>
          </w:p>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矿山地质环境保护与治理恢复方案</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区国土局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《矿山地质环境保护规定》第三章</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除具备相应资质的中介机构编制外，也可由申请人自行编制</w:t>
            </w:r>
          </w:p>
        </w:tc>
      </w:tr>
      <w:tr>
        <w:tblPrEx>
          <w:tblLayout w:type="fixed"/>
          <w:tblCellMar>
            <w:top w:w="0" w:type="dxa"/>
            <w:left w:w="108" w:type="dxa"/>
            <w:bottom w:w="0" w:type="dxa"/>
            <w:right w:w="108" w:type="dxa"/>
          </w:tblCellMar>
        </w:tblPrEx>
        <w:trPr>
          <w:trHeight w:val="61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50</w:t>
            </w:r>
          </w:p>
        </w:tc>
        <w:tc>
          <w:tcPr>
            <w:tcW w:w="1417" w:type="dxa"/>
            <w:vMerge w:val="restart"/>
            <w:tcBorders>
              <w:top w:val="single" w:color="auto" w:sz="4" w:space="0"/>
              <w:left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采矿权新立、延续、变更登记发证与注销登记</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矿产资源开发利用方案审查意见</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区国土局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《关于加强对开发利用方案审查的通知》（国土资发</w:t>
            </w:r>
            <w:r>
              <w:rPr>
                <w:rFonts w:ascii="仿宋_GB2312" w:hAnsi="宋体" w:eastAsia="仿宋_GB2312" w:cs="宋体"/>
                <w:color w:val="auto"/>
                <w:kern w:val="0"/>
                <w:sz w:val="20"/>
                <w:szCs w:val="20"/>
                <w:highlight w:val="none"/>
              </w:rPr>
              <w:t>(1999)98</w:t>
            </w:r>
            <w:r>
              <w:rPr>
                <w:rFonts w:hint="eastAsia" w:ascii="仿宋_GB2312" w:hAnsi="宋体" w:eastAsia="仿宋_GB2312" w:cs="宋体"/>
                <w:color w:val="auto"/>
                <w:kern w:val="0"/>
                <w:sz w:val="20"/>
                <w:szCs w:val="20"/>
                <w:highlight w:val="none"/>
              </w:rPr>
              <w:t>号）</w:t>
            </w:r>
          </w:p>
          <w:p>
            <w:pPr>
              <w:widowControl/>
              <w:jc w:val="left"/>
              <w:rPr>
                <w:rFonts w:ascii="仿宋_GB2312" w:hAnsi="宋体" w:eastAsia="仿宋_GB2312" w:cs="宋体"/>
                <w:color w:val="auto"/>
                <w:kern w:val="0"/>
                <w:sz w:val="20"/>
                <w:szCs w:val="20"/>
                <w:highlight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具有相关资质的机构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纳入政府部门审批程序的技术性服务事项</w:t>
            </w:r>
          </w:p>
        </w:tc>
      </w:tr>
      <w:tr>
        <w:tblPrEx>
          <w:tblLayout w:type="fixed"/>
          <w:tblCellMar>
            <w:top w:w="0" w:type="dxa"/>
            <w:left w:w="108" w:type="dxa"/>
            <w:bottom w:w="0" w:type="dxa"/>
            <w:right w:w="108" w:type="dxa"/>
          </w:tblCellMar>
        </w:tblPrEx>
        <w:trPr>
          <w:trHeight w:val="96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51</w:t>
            </w:r>
          </w:p>
        </w:tc>
        <w:tc>
          <w:tcPr>
            <w:tcW w:w="1417" w:type="dxa"/>
            <w:vMerge w:val="continue"/>
            <w:tcBorders>
              <w:left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矿产资源储量评审</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区国土局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p>
            <w:pPr>
              <w:widowControl/>
              <w:numPr>
                <w:ilvl w:val="0"/>
                <w:numId w:val="8"/>
              </w:numPr>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《矿产资源储量评审认定办法》（国土资发</w:t>
            </w:r>
            <w:r>
              <w:rPr>
                <w:rFonts w:ascii="仿宋_GB2312" w:hAnsi="宋体" w:eastAsia="仿宋_GB2312" w:cs="宋体"/>
                <w:color w:val="auto"/>
                <w:kern w:val="0"/>
                <w:sz w:val="20"/>
                <w:szCs w:val="20"/>
                <w:highlight w:val="none"/>
              </w:rPr>
              <w:t>(1999)205</w:t>
            </w:r>
            <w:r>
              <w:rPr>
                <w:rFonts w:hint="eastAsia" w:ascii="仿宋_GB2312" w:hAnsi="宋体" w:eastAsia="仿宋_GB2312" w:cs="宋体"/>
                <w:color w:val="auto"/>
                <w:kern w:val="0"/>
                <w:sz w:val="20"/>
                <w:szCs w:val="20"/>
                <w:highlight w:val="none"/>
              </w:rPr>
              <w:t>号）；</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《河北省国土资源厅关于矿产资源储量评审备案有关问题的通知》（冀国土资发</w:t>
            </w:r>
            <w:r>
              <w:rPr>
                <w:rFonts w:ascii="仿宋_GB2312" w:hAnsi="宋体" w:eastAsia="仿宋_GB2312" w:cs="宋体"/>
                <w:color w:val="auto"/>
                <w:kern w:val="0"/>
                <w:sz w:val="20"/>
                <w:szCs w:val="20"/>
                <w:highlight w:val="none"/>
              </w:rPr>
              <w:t>(2015)14</w:t>
            </w:r>
            <w:r>
              <w:rPr>
                <w:rFonts w:hint="eastAsia" w:ascii="仿宋_GB2312" w:hAnsi="宋体" w:eastAsia="仿宋_GB2312" w:cs="宋体"/>
                <w:color w:val="auto"/>
                <w:kern w:val="0"/>
                <w:sz w:val="20"/>
                <w:szCs w:val="20"/>
                <w:highlight w:val="none"/>
              </w:rPr>
              <w:t>号）</w:t>
            </w:r>
          </w:p>
          <w:p>
            <w:pPr>
              <w:widowControl/>
              <w:jc w:val="left"/>
              <w:rPr>
                <w:rFonts w:ascii="仿宋_GB2312" w:hAnsi="宋体" w:eastAsia="仿宋_GB2312" w:cs="宋体"/>
                <w:color w:val="auto"/>
                <w:kern w:val="0"/>
                <w:sz w:val="20"/>
                <w:szCs w:val="20"/>
                <w:highlight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石家庄市矿产储量审查办公室</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纳入政府部门审批程序的技术性服务事项</w:t>
            </w:r>
          </w:p>
        </w:tc>
      </w:tr>
      <w:tr>
        <w:tblPrEx>
          <w:tblLayout w:type="fixed"/>
          <w:tblCellMar>
            <w:top w:w="0" w:type="dxa"/>
            <w:left w:w="108" w:type="dxa"/>
            <w:bottom w:w="0" w:type="dxa"/>
            <w:right w:w="108" w:type="dxa"/>
          </w:tblCellMar>
        </w:tblPrEx>
        <w:trPr>
          <w:trHeight w:val="100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52</w:t>
            </w:r>
          </w:p>
        </w:tc>
        <w:tc>
          <w:tcPr>
            <w:tcW w:w="1417" w:type="dxa"/>
            <w:vMerge w:val="continue"/>
            <w:tcBorders>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矿业权价款评估</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区国土局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p>
            <w:pPr>
              <w:widowControl/>
              <w:numPr>
                <w:ilvl w:val="0"/>
                <w:numId w:val="9"/>
              </w:numPr>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《探矿权采矿权评估管理暂行办法》（国土资发</w:t>
            </w:r>
            <w:r>
              <w:rPr>
                <w:rFonts w:ascii="仿宋_GB2312" w:hAnsi="宋体" w:eastAsia="仿宋_GB2312" w:cs="宋体"/>
                <w:color w:val="auto"/>
                <w:kern w:val="0"/>
                <w:sz w:val="20"/>
                <w:szCs w:val="20"/>
                <w:highlight w:val="none"/>
              </w:rPr>
              <w:t>(1999)75</w:t>
            </w:r>
            <w:r>
              <w:rPr>
                <w:rFonts w:hint="eastAsia" w:ascii="仿宋_GB2312" w:hAnsi="宋体" w:eastAsia="仿宋_GB2312" w:cs="宋体"/>
                <w:color w:val="auto"/>
                <w:kern w:val="0"/>
                <w:sz w:val="20"/>
                <w:szCs w:val="20"/>
                <w:highlight w:val="none"/>
              </w:rPr>
              <w:t>号）；</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《国土资源部关于印发</w:t>
            </w:r>
            <w:r>
              <w:rPr>
                <w:rFonts w:ascii="仿宋_GB2312" w:hAnsi="宋体" w:eastAsia="仿宋_GB2312" w:cs="宋体"/>
                <w:color w:val="auto"/>
                <w:kern w:val="0"/>
                <w:sz w:val="20"/>
                <w:szCs w:val="20"/>
                <w:highlight w:val="none"/>
              </w:rPr>
              <w:t>&lt;</w:t>
            </w:r>
            <w:r>
              <w:rPr>
                <w:rFonts w:hint="eastAsia" w:ascii="仿宋_GB2312" w:hAnsi="宋体" w:eastAsia="仿宋_GB2312" w:cs="宋体"/>
                <w:color w:val="auto"/>
                <w:kern w:val="0"/>
                <w:sz w:val="20"/>
                <w:szCs w:val="20"/>
                <w:highlight w:val="none"/>
              </w:rPr>
              <w:t>矿业权评估管理办法（试行）</w:t>
            </w:r>
            <w:r>
              <w:rPr>
                <w:rFonts w:ascii="仿宋_GB2312" w:hAnsi="宋体" w:eastAsia="仿宋_GB2312" w:cs="宋体"/>
                <w:color w:val="auto"/>
                <w:kern w:val="0"/>
                <w:sz w:val="20"/>
                <w:szCs w:val="20"/>
                <w:highlight w:val="none"/>
              </w:rPr>
              <w:t>&gt;</w:t>
            </w:r>
            <w:r>
              <w:rPr>
                <w:rFonts w:hint="eastAsia" w:ascii="仿宋_GB2312" w:hAnsi="宋体" w:eastAsia="仿宋_GB2312" w:cs="宋体"/>
                <w:color w:val="auto"/>
                <w:kern w:val="0"/>
                <w:sz w:val="20"/>
                <w:szCs w:val="20"/>
                <w:highlight w:val="none"/>
              </w:rPr>
              <w:t>的通知》（国土资发</w:t>
            </w:r>
            <w:r>
              <w:rPr>
                <w:rFonts w:ascii="仿宋_GB2312" w:hAnsi="宋体" w:eastAsia="仿宋_GB2312" w:cs="宋体"/>
                <w:color w:val="auto"/>
                <w:kern w:val="0"/>
                <w:sz w:val="20"/>
                <w:szCs w:val="20"/>
                <w:highlight w:val="none"/>
              </w:rPr>
              <w:t>(2008)174</w:t>
            </w:r>
            <w:r>
              <w:rPr>
                <w:rFonts w:hint="eastAsia" w:ascii="仿宋_GB2312" w:hAnsi="宋体" w:eastAsia="仿宋_GB2312" w:cs="宋体"/>
                <w:color w:val="auto"/>
                <w:kern w:val="0"/>
                <w:sz w:val="20"/>
                <w:szCs w:val="20"/>
                <w:highlight w:val="none"/>
              </w:rPr>
              <w:t>号）</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纳入政府部门审批程序的技术性服务事项</w:t>
            </w:r>
          </w:p>
        </w:tc>
      </w:tr>
      <w:tr>
        <w:tblPrEx>
          <w:tblLayout w:type="fixed"/>
          <w:tblCellMar>
            <w:top w:w="0" w:type="dxa"/>
            <w:left w:w="108" w:type="dxa"/>
            <w:bottom w:w="0" w:type="dxa"/>
            <w:right w:w="108" w:type="dxa"/>
          </w:tblCellMar>
        </w:tblPrEx>
        <w:trPr>
          <w:trHeight w:val="615"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53</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建设项目用地预审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地质灾害危险性评估报告</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区国土局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《建设项目用地预审管理办法》第七条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81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54</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临时用地审批</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临时用地勘测定界报告及定界图</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区国土局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《河北省国土资源厅关于加强临时用地管理的通知》第三条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除具备相应资质的中介机构编制外，也可由申请人自行编制</w:t>
            </w:r>
          </w:p>
        </w:tc>
      </w:tr>
      <w:tr>
        <w:tblPrEx>
          <w:tblLayout w:type="fixed"/>
          <w:tblCellMar>
            <w:top w:w="0" w:type="dxa"/>
            <w:left w:w="108" w:type="dxa"/>
            <w:bottom w:w="0" w:type="dxa"/>
            <w:right w:w="108" w:type="dxa"/>
          </w:tblCellMar>
        </w:tblPrEx>
        <w:trPr>
          <w:trHeight w:val="79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p>
          <w:p>
            <w:pPr>
              <w:widowControl/>
              <w:jc w:val="center"/>
              <w:rPr>
                <w:rFonts w:ascii="仿宋_GB2312" w:hAnsi="宋体" w:eastAsia="仿宋_GB2312" w:cs="宋体"/>
                <w:color w:val="auto"/>
                <w:kern w:val="0"/>
                <w:sz w:val="20"/>
                <w:szCs w:val="20"/>
                <w:highlight w:val="none"/>
              </w:rPr>
            </w:pPr>
          </w:p>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rPr>
              <w:pict>
                <v:shape id="_x0000_s1064" o:spid="_x0000_s1064" o:spt="202" type="#_x0000_t202" style="position:absolute;left:0pt;margin-left:-55pt;margin-top:-17.95pt;height:79.45pt;width:43.5pt;z-index:251659264;mso-width-relative:page;mso-height-relative:page;" filled="f" stroked="f" coordsize="21600,21600">
                  <v:path/>
                  <v:fill on="f" focussize="0,0"/>
                  <v:stroke on="f" joinstyle="miter"/>
                  <v:imagedata o:title=""/>
                  <o:lock v:ext="edit"/>
                  <v:textbox style="layout-flow:vertical-ideographic;">
                    <w:txbxContent>
                      <w:p>
                        <w:pPr>
                          <w:rPr>
                            <w:rFonts w:ascii="宋体" w:cs="宋体"/>
                            <w:sz w:val="28"/>
                            <w:szCs w:val="28"/>
                          </w:rPr>
                        </w:pPr>
                      </w:p>
                    </w:txbxContent>
                  </v:textbox>
                </v:shape>
              </w:pict>
            </w:r>
            <w:r>
              <w:rPr>
                <w:rFonts w:hint="eastAsia" w:ascii="仿宋_GB2312" w:hAnsi="宋体" w:eastAsia="仿宋_GB2312" w:cs="宋体"/>
                <w:color w:val="auto"/>
                <w:kern w:val="0"/>
                <w:sz w:val="20"/>
                <w:szCs w:val="20"/>
                <w:highlight w:val="none"/>
                <w:lang w:val="en-US" w:eastAsia="zh-CN"/>
              </w:rPr>
              <w:t>55</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乡（镇）村集体建设用地审核</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建设项目总平面布置图</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区国土局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《建设用地审查报批管理办法》第五条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除具备相应资质的中介机构编制外，也可由申请人自行编制</w:t>
            </w:r>
          </w:p>
        </w:tc>
      </w:tr>
      <w:tr>
        <w:tblPrEx>
          <w:tblLayout w:type="fixed"/>
          <w:tblCellMar>
            <w:top w:w="0" w:type="dxa"/>
            <w:left w:w="108" w:type="dxa"/>
            <w:bottom w:w="0" w:type="dxa"/>
            <w:right w:w="108" w:type="dxa"/>
          </w:tblCellMar>
        </w:tblPrEx>
        <w:trPr>
          <w:trHeight w:val="72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ind w:firstLine="100" w:firstLineChars="50"/>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56</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乡（镇）村集体建设用地审核</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地质灾害危险性评估报告</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区国土局</w:t>
            </w:r>
          </w:p>
        </w:tc>
        <w:tc>
          <w:tcPr>
            <w:tcW w:w="4962" w:type="dxa"/>
            <w:tcBorders>
              <w:top w:val="single" w:color="auto" w:sz="4" w:space="0"/>
              <w:left w:val="nil"/>
              <w:bottom w:val="nil"/>
              <w:right w:val="single" w:color="auto" w:sz="4" w:space="0"/>
            </w:tcBorders>
            <w:vAlign w:val="center"/>
          </w:tcPr>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《建设用地审查报批管理办法》第五条</w:t>
            </w:r>
          </w:p>
          <w:p>
            <w:pPr>
              <w:widowControl/>
              <w:jc w:val="left"/>
              <w:rPr>
                <w:rFonts w:ascii="仿宋_GB2312" w:hAnsi="宋体" w:eastAsia="仿宋_GB2312" w:cs="宋体"/>
                <w:color w:val="auto"/>
                <w:kern w:val="0"/>
                <w:sz w:val="20"/>
                <w:szCs w:val="20"/>
                <w:highlight w:val="none"/>
              </w:rPr>
            </w:pPr>
          </w:p>
        </w:tc>
        <w:tc>
          <w:tcPr>
            <w:tcW w:w="2268"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具有相关资质的机构</w:t>
            </w:r>
          </w:p>
        </w:tc>
        <w:tc>
          <w:tcPr>
            <w:tcW w:w="1445" w:type="dxa"/>
            <w:gridSpan w:val="2"/>
            <w:tcBorders>
              <w:top w:val="single" w:color="auto" w:sz="4" w:space="0"/>
              <w:left w:val="nil"/>
              <w:bottom w:val="nil"/>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除具备相应资质的中介机构编制外，也可由申请人自行编制</w:t>
            </w:r>
          </w:p>
        </w:tc>
      </w:tr>
      <w:tr>
        <w:tblPrEx>
          <w:tblLayout w:type="fixed"/>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57</w:t>
            </w:r>
          </w:p>
        </w:tc>
        <w:tc>
          <w:tcPr>
            <w:tcW w:w="1417"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采矿权转让审批</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矿产资源开发利用情况报告</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区国土局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p>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《探矿权采矿权转让管理办法》第八条</w:t>
            </w:r>
          </w:p>
          <w:p>
            <w:pPr>
              <w:widowControl/>
              <w:jc w:val="left"/>
              <w:rPr>
                <w:rFonts w:ascii="仿宋_GB2312" w:hAnsi="宋体" w:eastAsia="仿宋_GB2312" w:cs="宋体"/>
                <w:color w:val="auto"/>
                <w:kern w:val="0"/>
                <w:sz w:val="20"/>
                <w:szCs w:val="20"/>
                <w:highlight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具有相关资质的机构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除具备相应资质的中介机构编制外，也可由申请人自行编制</w:t>
            </w:r>
          </w:p>
        </w:tc>
      </w:tr>
      <w:tr>
        <w:tblPrEx>
          <w:tblLayout w:type="fixed"/>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58</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矿产资源勘察情况报告</w:t>
            </w:r>
          </w:p>
        </w:tc>
        <w:tc>
          <w:tcPr>
            <w:tcW w:w="1559"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区国土局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《探矿权采矿权转让管理办法》第八条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具有相关资质的机构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除具备相应资质的中介机构编制外，也可由申请人自行编制</w:t>
            </w:r>
          </w:p>
        </w:tc>
      </w:tr>
      <w:tr>
        <w:tblPrEx>
          <w:tblLayout w:type="fixed"/>
          <w:tblCellMar>
            <w:top w:w="0" w:type="dxa"/>
            <w:left w:w="108" w:type="dxa"/>
            <w:bottom w:w="0" w:type="dxa"/>
            <w:right w:w="108" w:type="dxa"/>
          </w:tblCellMar>
        </w:tblPrEx>
        <w:trPr>
          <w:trHeight w:val="63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59</w:t>
            </w:r>
          </w:p>
        </w:tc>
        <w:tc>
          <w:tcPr>
            <w:tcW w:w="141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建设项目选址意见书核发</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规划报建地形图及地下管线现状资料测绘</w:t>
            </w:r>
          </w:p>
        </w:tc>
        <w:tc>
          <w:tcPr>
            <w:tcW w:w="1559"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市规划局鹿泉分局</w:t>
            </w:r>
          </w:p>
        </w:tc>
        <w:tc>
          <w:tcPr>
            <w:tcW w:w="4962" w:type="dxa"/>
            <w:vMerge w:val="restart"/>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w:t>
            </w:r>
            <w:r>
              <w:rPr>
                <w:rFonts w:hint="eastAsia" w:ascii="仿宋_GB2312" w:hAnsi="宋体" w:eastAsia="仿宋_GB2312" w:cs="宋体"/>
                <w:color w:val="auto"/>
                <w:kern w:val="0"/>
                <w:sz w:val="20"/>
                <w:szCs w:val="20"/>
                <w:highlight w:val="none"/>
              </w:rPr>
              <w:t>《中华人民共和国城乡规划法》第三十六条；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《河北省城乡规划条例》第四十三条、第四十四条；</w:t>
            </w:r>
            <w:r>
              <w:rPr>
                <w:rFonts w:ascii="仿宋_GB2312" w:hAnsi="宋体" w:eastAsia="仿宋_GB2312" w:cs="宋体"/>
                <w:color w:val="auto"/>
                <w:kern w:val="0"/>
                <w:sz w:val="20"/>
                <w:szCs w:val="20"/>
                <w:highlight w:val="none"/>
              </w:rPr>
              <w:t>3.</w:t>
            </w:r>
            <w:r>
              <w:rPr>
                <w:rFonts w:hint="eastAsia" w:ascii="仿宋_GB2312" w:hAnsi="宋体" w:eastAsia="仿宋_GB2312" w:cs="宋体"/>
                <w:color w:val="auto"/>
                <w:kern w:val="0"/>
                <w:sz w:val="20"/>
                <w:szCs w:val="20"/>
                <w:highlight w:val="none"/>
              </w:rPr>
              <w:t>《石家庄市城乡规划条例》第三十三条；</w:t>
            </w:r>
            <w:r>
              <w:rPr>
                <w:rFonts w:ascii="仿宋_GB2312" w:hAnsi="宋体" w:eastAsia="仿宋_GB2312" w:cs="宋体"/>
                <w:color w:val="auto"/>
                <w:kern w:val="0"/>
                <w:sz w:val="20"/>
                <w:szCs w:val="20"/>
                <w:highlight w:val="none"/>
              </w:rPr>
              <w:t>4.</w:t>
            </w:r>
            <w:r>
              <w:rPr>
                <w:rFonts w:hint="eastAsia" w:ascii="仿宋_GB2312" w:hAnsi="宋体" w:eastAsia="仿宋_GB2312" w:cs="宋体"/>
                <w:color w:val="auto"/>
                <w:kern w:val="0"/>
                <w:sz w:val="20"/>
                <w:szCs w:val="20"/>
                <w:highlight w:val="none"/>
              </w:rPr>
              <w:t>《石家庄市城乡规划管理程序规定》第十九条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具有相应测绘资质的机构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72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60</w:t>
            </w:r>
          </w:p>
        </w:tc>
        <w:tc>
          <w:tcPr>
            <w:tcW w:w="1417"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建设项目选址论证报告等技术支持性文件</w:t>
            </w:r>
          </w:p>
        </w:tc>
        <w:tc>
          <w:tcPr>
            <w:tcW w:w="1559"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市规划局鹿泉分局</w:t>
            </w:r>
          </w:p>
        </w:tc>
        <w:tc>
          <w:tcPr>
            <w:tcW w:w="496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具有规划、交通、市政相应设计资质的机构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144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61</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建设用地（含临时用地）规划许可证核发</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用地红线图测量</w:t>
            </w:r>
          </w:p>
        </w:tc>
        <w:tc>
          <w:tcPr>
            <w:tcW w:w="1559"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市规划局鹿泉分局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w:t>
            </w:r>
            <w:r>
              <w:rPr>
                <w:rFonts w:hint="eastAsia" w:ascii="仿宋_GB2312" w:hAnsi="宋体" w:eastAsia="仿宋_GB2312" w:cs="宋体"/>
                <w:color w:val="auto"/>
                <w:kern w:val="0"/>
                <w:sz w:val="20"/>
                <w:szCs w:val="20"/>
                <w:highlight w:val="none"/>
              </w:rPr>
              <w:t>《中华人民共和国城乡规划法》第三十七条、第三十八条；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《河北省城乡规划条例》第四十八条、第四十九条；</w:t>
            </w:r>
            <w:r>
              <w:rPr>
                <w:rFonts w:ascii="仿宋_GB2312" w:hAnsi="宋体" w:eastAsia="仿宋_GB2312" w:cs="宋体"/>
                <w:color w:val="auto"/>
                <w:kern w:val="0"/>
                <w:sz w:val="20"/>
                <w:szCs w:val="20"/>
                <w:highlight w:val="none"/>
              </w:rPr>
              <w:t>3.</w:t>
            </w:r>
            <w:r>
              <w:rPr>
                <w:rFonts w:hint="eastAsia" w:ascii="仿宋_GB2312" w:hAnsi="宋体" w:eastAsia="仿宋_GB2312" w:cs="宋体"/>
                <w:color w:val="auto"/>
                <w:kern w:val="0"/>
                <w:sz w:val="20"/>
                <w:szCs w:val="20"/>
                <w:highlight w:val="none"/>
              </w:rPr>
              <w:t>《石家庄市城乡规划条例》第三十八条、第三十九条、第四十条；</w:t>
            </w:r>
            <w:r>
              <w:rPr>
                <w:rFonts w:ascii="仿宋_GB2312" w:hAnsi="宋体" w:eastAsia="仿宋_GB2312" w:cs="宋体"/>
                <w:color w:val="auto"/>
                <w:kern w:val="0"/>
                <w:sz w:val="20"/>
                <w:szCs w:val="20"/>
                <w:highlight w:val="none"/>
              </w:rPr>
              <w:t>4.</w:t>
            </w:r>
            <w:r>
              <w:rPr>
                <w:rFonts w:hint="eastAsia" w:ascii="仿宋_GB2312" w:hAnsi="宋体" w:eastAsia="仿宋_GB2312" w:cs="宋体"/>
                <w:color w:val="auto"/>
                <w:kern w:val="0"/>
                <w:sz w:val="20"/>
                <w:szCs w:val="20"/>
                <w:highlight w:val="none"/>
              </w:rPr>
              <w:t>《石家庄市城乡规划管理程序规定》第三十七条、第三十八条、第三十九条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具有相应测绘资质的机构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纳入政府部门审批程序的技术性服务事项</w:t>
            </w:r>
          </w:p>
        </w:tc>
      </w:tr>
      <w:tr>
        <w:tblPrEx>
          <w:tblLayout w:type="fixed"/>
          <w:tblCellMar>
            <w:top w:w="0" w:type="dxa"/>
            <w:left w:w="108" w:type="dxa"/>
            <w:bottom w:w="0" w:type="dxa"/>
            <w:right w:w="108" w:type="dxa"/>
          </w:tblCellMar>
        </w:tblPrEx>
        <w:trPr>
          <w:trHeight w:val="120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62</w:t>
            </w:r>
          </w:p>
        </w:tc>
        <w:tc>
          <w:tcPr>
            <w:tcW w:w="1417"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建设工程（含临时建设）规划许可证核发</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建设工程方案设计及方案技术支持性文件</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市规划局鹿泉分局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w:t>
            </w:r>
            <w:r>
              <w:rPr>
                <w:rFonts w:hint="eastAsia" w:ascii="仿宋_GB2312" w:hAnsi="宋体" w:eastAsia="仿宋_GB2312" w:cs="宋体"/>
                <w:color w:val="auto"/>
                <w:kern w:val="0"/>
                <w:sz w:val="20"/>
                <w:szCs w:val="20"/>
                <w:highlight w:val="none"/>
              </w:rPr>
              <w:t>《中华人民共和国城乡规划法》第四十条；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《河北省城乡规划条例》第五十二条、五十三条；</w:t>
            </w:r>
            <w:r>
              <w:rPr>
                <w:rFonts w:ascii="仿宋_GB2312" w:hAnsi="宋体" w:eastAsia="仿宋_GB2312" w:cs="宋体"/>
                <w:color w:val="auto"/>
                <w:kern w:val="0"/>
                <w:sz w:val="20"/>
                <w:szCs w:val="20"/>
                <w:highlight w:val="none"/>
              </w:rPr>
              <w:t>3.</w:t>
            </w:r>
            <w:r>
              <w:rPr>
                <w:rFonts w:hint="eastAsia" w:ascii="仿宋_GB2312" w:hAnsi="宋体" w:eastAsia="仿宋_GB2312" w:cs="宋体"/>
                <w:color w:val="auto"/>
                <w:kern w:val="0"/>
                <w:sz w:val="20"/>
                <w:szCs w:val="20"/>
                <w:highlight w:val="none"/>
              </w:rPr>
              <w:t>《石家庄市城乡规划条例》第四十四条、第四十五条；</w:t>
            </w:r>
            <w:r>
              <w:rPr>
                <w:rFonts w:ascii="仿宋_GB2312" w:hAnsi="宋体" w:eastAsia="仿宋_GB2312" w:cs="宋体"/>
                <w:color w:val="auto"/>
                <w:kern w:val="0"/>
                <w:sz w:val="20"/>
                <w:szCs w:val="20"/>
                <w:highlight w:val="none"/>
              </w:rPr>
              <w:t>4.</w:t>
            </w:r>
            <w:r>
              <w:rPr>
                <w:rFonts w:hint="eastAsia" w:ascii="仿宋_GB2312" w:hAnsi="宋体" w:eastAsia="仿宋_GB2312" w:cs="宋体"/>
                <w:color w:val="auto"/>
                <w:kern w:val="0"/>
                <w:sz w:val="20"/>
                <w:szCs w:val="20"/>
                <w:highlight w:val="none"/>
              </w:rPr>
              <w:t>《石家庄市城乡规划管理程序规定》第五十三条、第六十八条</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具有相应规划、建筑、市政等设计资质或规划技术服务资质的机构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720" w:hRule="atLeast"/>
        </w:trPr>
        <w:tc>
          <w:tcPr>
            <w:tcW w:w="710" w:type="dxa"/>
            <w:tcBorders>
              <w:top w:val="single" w:color="auto" w:sz="4" w:space="0"/>
              <w:left w:val="single" w:color="auto" w:sz="4" w:space="0"/>
              <w:bottom w:val="single" w:color="auto" w:sz="4" w:space="0"/>
              <w:right w:val="nil"/>
            </w:tcBorders>
            <w:vAlign w:val="center"/>
          </w:tcPr>
          <w:p>
            <w:pPr>
              <w:widowControl/>
              <w:jc w:val="center"/>
              <w:rPr>
                <w:rFonts w:ascii="宋体" w:cs="宋体"/>
                <w:color w:val="auto"/>
                <w:kern w:val="0"/>
                <w:sz w:val="20"/>
                <w:szCs w:val="20"/>
                <w:highlight w:val="none"/>
              </w:rPr>
            </w:pPr>
          </w:p>
          <w:p>
            <w:pPr>
              <w:widowControl/>
              <w:jc w:val="center"/>
              <w:rPr>
                <w:rFonts w:hint="eastAsia" w:ascii="仿宋_GB2312" w:hAnsi="宋体" w:eastAsia="仿宋_GB2312" w:cs="宋体"/>
                <w:color w:val="auto"/>
                <w:kern w:val="0"/>
                <w:sz w:val="20"/>
                <w:szCs w:val="20"/>
                <w:highlight w:val="none"/>
                <w:lang w:val="en-US" w:eastAsia="zh-CN"/>
              </w:rPr>
            </w:pPr>
            <w:r>
              <w:rPr>
                <w:rFonts w:hint="eastAsia" w:ascii="宋体" w:hAnsi="宋体" w:eastAsia="仿宋_GB2312" w:cs="宋体"/>
                <w:color w:val="auto"/>
                <w:kern w:val="0"/>
                <w:sz w:val="20"/>
                <w:szCs w:val="20"/>
                <w:highlight w:val="none"/>
                <w:lang w:val="en-US" w:eastAsia="zh-CN"/>
              </w:rPr>
              <w:t>63</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建设工程设计方案技术审查（含电子校核、日照分析校核等）</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市规划局鹿泉分局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w:t>
            </w:r>
            <w:r>
              <w:rPr>
                <w:rFonts w:hint="eastAsia" w:ascii="仿宋_GB2312" w:hAnsi="宋体" w:eastAsia="仿宋_GB2312" w:cs="宋体"/>
                <w:color w:val="auto"/>
                <w:kern w:val="0"/>
                <w:sz w:val="20"/>
                <w:szCs w:val="20"/>
                <w:highlight w:val="none"/>
              </w:rPr>
              <w:t>《中华人民共和国城乡规划法》第四十四条、第四十五条；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《石家庄市城乡规划管理程序规定》第四十七条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具有相应规划、建筑等设计资质或规划技术服务资质的机构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纳入政府部门审批程序的技术性服务事项</w:t>
            </w:r>
          </w:p>
          <w:p>
            <w:pPr>
              <w:widowControl/>
              <w:jc w:val="center"/>
              <w:rPr>
                <w:rFonts w:ascii="仿宋_GB2312" w:hAnsi="宋体" w:eastAsia="仿宋_GB2312" w:cs="宋体"/>
                <w:color w:val="auto"/>
                <w:kern w:val="0"/>
                <w:sz w:val="20"/>
                <w:szCs w:val="20"/>
                <w:highlight w:val="none"/>
              </w:rPr>
            </w:pPr>
          </w:p>
        </w:tc>
      </w:tr>
      <w:tr>
        <w:tblPrEx>
          <w:tblLayout w:type="fixed"/>
          <w:tblCellMar>
            <w:top w:w="0" w:type="dxa"/>
            <w:left w:w="108" w:type="dxa"/>
            <w:bottom w:w="0" w:type="dxa"/>
            <w:right w:w="108" w:type="dxa"/>
          </w:tblCellMar>
        </w:tblPrEx>
        <w:trPr>
          <w:trHeight w:val="120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64</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乡村建设规划许可证核发</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建设工程方案设计及方案技术支持性文件</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市规划局鹿泉分局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w:t>
            </w:r>
            <w:r>
              <w:rPr>
                <w:rFonts w:hint="eastAsia" w:ascii="仿宋_GB2312" w:hAnsi="宋体" w:eastAsia="仿宋_GB2312" w:cs="宋体"/>
                <w:color w:val="auto"/>
                <w:kern w:val="0"/>
                <w:sz w:val="20"/>
                <w:szCs w:val="20"/>
                <w:highlight w:val="none"/>
              </w:rPr>
              <w:t>《中华人民共和国城乡规划法》第四十一条；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《河北省城乡规划条例》第五十四条、第五十五条、第五十六条；</w:t>
            </w:r>
            <w:r>
              <w:rPr>
                <w:rFonts w:ascii="仿宋_GB2312" w:hAnsi="宋体" w:eastAsia="仿宋_GB2312" w:cs="宋体"/>
                <w:color w:val="auto"/>
                <w:kern w:val="0"/>
                <w:sz w:val="20"/>
                <w:szCs w:val="20"/>
                <w:highlight w:val="none"/>
              </w:rPr>
              <w:t>3.</w:t>
            </w:r>
            <w:r>
              <w:rPr>
                <w:rFonts w:hint="eastAsia" w:ascii="仿宋_GB2312" w:hAnsi="宋体" w:eastAsia="仿宋_GB2312" w:cs="宋体"/>
                <w:color w:val="auto"/>
                <w:kern w:val="0"/>
                <w:sz w:val="20"/>
                <w:szCs w:val="20"/>
                <w:highlight w:val="none"/>
              </w:rPr>
              <w:t>《石家庄市城乡规划条例》第五十条；</w:t>
            </w:r>
            <w:r>
              <w:rPr>
                <w:rFonts w:ascii="仿宋_GB2312" w:hAnsi="宋体" w:eastAsia="仿宋_GB2312" w:cs="宋体"/>
                <w:color w:val="auto"/>
                <w:kern w:val="0"/>
                <w:sz w:val="20"/>
                <w:szCs w:val="20"/>
                <w:highlight w:val="none"/>
              </w:rPr>
              <w:t>4.</w:t>
            </w:r>
            <w:r>
              <w:rPr>
                <w:rFonts w:hint="eastAsia" w:ascii="仿宋_GB2312" w:hAnsi="宋体" w:eastAsia="仿宋_GB2312" w:cs="宋体"/>
                <w:color w:val="auto"/>
                <w:kern w:val="0"/>
                <w:sz w:val="20"/>
                <w:szCs w:val="20"/>
                <w:highlight w:val="none"/>
              </w:rPr>
              <w:t>《石家庄市城乡规划管理程序规定》第七十四条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具有相应规划、建筑、交通设计资质或规划技术服务资质的机构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保留程序不变</w:t>
            </w:r>
          </w:p>
        </w:tc>
      </w:tr>
      <w:tr>
        <w:tblPrEx>
          <w:tblLayout w:type="fixed"/>
          <w:tblCellMar>
            <w:top w:w="0" w:type="dxa"/>
            <w:left w:w="108" w:type="dxa"/>
            <w:bottom w:w="0" w:type="dxa"/>
            <w:right w:w="108" w:type="dxa"/>
          </w:tblCellMar>
        </w:tblPrEx>
        <w:trPr>
          <w:trHeight w:val="120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65</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用地红线图测量</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市规划局鹿泉分局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w:t>
            </w:r>
            <w:r>
              <w:rPr>
                <w:rFonts w:hint="eastAsia" w:ascii="仿宋_GB2312" w:hAnsi="宋体" w:eastAsia="仿宋_GB2312" w:cs="宋体"/>
                <w:color w:val="auto"/>
                <w:kern w:val="0"/>
                <w:sz w:val="20"/>
                <w:szCs w:val="20"/>
                <w:highlight w:val="none"/>
              </w:rPr>
              <w:t>《中华人民共和国城乡规划法》第四十一条；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《河北省城乡规划条例》第五十四条、第五十五条；</w:t>
            </w:r>
            <w:r>
              <w:rPr>
                <w:rFonts w:ascii="仿宋_GB2312" w:hAnsi="宋体" w:eastAsia="仿宋_GB2312" w:cs="宋体"/>
                <w:color w:val="auto"/>
                <w:kern w:val="0"/>
                <w:sz w:val="20"/>
                <w:szCs w:val="20"/>
                <w:highlight w:val="none"/>
              </w:rPr>
              <w:t>3.</w:t>
            </w:r>
            <w:r>
              <w:rPr>
                <w:rFonts w:hint="eastAsia" w:ascii="仿宋_GB2312" w:hAnsi="宋体" w:eastAsia="仿宋_GB2312" w:cs="宋体"/>
                <w:color w:val="auto"/>
                <w:kern w:val="0"/>
                <w:sz w:val="20"/>
                <w:szCs w:val="20"/>
                <w:highlight w:val="none"/>
              </w:rPr>
              <w:t>《石家庄市城乡规划条例》第五十一条；</w:t>
            </w:r>
            <w:r>
              <w:rPr>
                <w:rFonts w:ascii="仿宋_GB2312" w:hAnsi="宋体" w:eastAsia="仿宋_GB2312" w:cs="宋体"/>
                <w:color w:val="auto"/>
                <w:kern w:val="0"/>
                <w:sz w:val="20"/>
                <w:szCs w:val="20"/>
                <w:highlight w:val="none"/>
              </w:rPr>
              <w:t>4.</w:t>
            </w:r>
            <w:r>
              <w:rPr>
                <w:rFonts w:hint="eastAsia" w:ascii="仿宋_GB2312" w:hAnsi="宋体" w:eastAsia="仿宋_GB2312" w:cs="宋体"/>
                <w:color w:val="auto"/>
                <w:kern w:val="0"/>
                <w:sz w:val="20"/>
                <w:szCs w:val="20"/>
                <w:highlight w:val="none"/>
              </w:rPr>
              <w:t>《石家庄市城乡规划管理程序规定》第七十五条</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具有相应测绘资质的机构</w:t>
            </w:r>
          </w:p>
        </w:tc>
        <w:tc>
          <w:tcPr>
            <w:tcW w:w="1445"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纳入政府部门审批程序的技术性服务事项</w:t>
            </w:r>
          </w:p>
        </w:tc>
      </w:tr>
      <w:tr>
        <w:tblPrEx>
          <w:tblLayout w:type="fixed"/>
          <w:tblCellMar>
            <w:top w:w="0" w:type="dxa"/>
            <w:left w:w="108" w:type="dxa"/>
            <w:bottom w:w="0" w:type="dxa"/>
            <w:right w:w="108" w:type="dxa"/>
          </w:tblCellMar>
        </w:tblPrEx>
        <w:trPr>
          <w:trHeight w:val="1680" w:hRule="atLeast"/>
        </w:trPr>
        <w:tc>
          <w:tcPr>
            <w:tcW w:w="710" w:type="dxa"/>
            <w:tcBorders>
              <w:top w:val="nil"/>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66</w:t>
            </w:r>
          </w:p>
        </w:tc>
        <w:tc>
          <w:tcPr>
            <w:tcW w:w="1417" w:type="dxa"/>
            <w:vMerge w:val="restart"/>
            <w:tcBorders>
              <w:top w:val="single" w:color="auto" w:sz="4" w:space="0"/>
              <w:left w:val="single" w:color="auto" w:sz="4" w:space="0"/>
              <w:right w:val="single" w:color="auto" w:sz="4" w:space="0"/>
            </w:tcBorders>
            <w:vAlign w:val="center"/>
          </w:tcPr>
          <w:p>
            <w:pPr>
              <w:widowControl/>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防雷装置设计审核和竣工验收</w:t>
            </w: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防雷装置设计技术评价</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区气象局</w:t>
            </w:r>
          </w:p>
        </w:tc>
        <w:tc>
          <w:tcPr>
            <w:tcW w:w="496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w:t>
            </w:r>
            <w:r>
              <w:rPr>
                <w:rFonts w:hint="eastAsia" w:ascii="仿宋_GB2312" w:hAnsi="宋体" w:eastAsia="仿宋_GB2312" w:cs="宋体"/>
                <w:color w:val="auto"/>
                <w:kern w:val="0"/>
                <w:sz w:val="20"/>
                <w:szCs w:val="20"/>
                <w:highlight w:val="none"/>
              </w:rPr>
              <w:t>《防雷装置设计审核和竣工验收规定》（中国气象局第</w:t>
            </w:r>
            <w:r>
              <w:rPr>
                <w:rFonts w:ascii="仿宋_GB2312" w:hAnsi="宋体" w:eastAsia="仿宋_GB2312" w:cs="宋体"/>
                <w:color w:val="auto"/>
                <w:kern w:val="0"/>
                <w:sz w:val="20"/>
                <w:szCs w:val="20"/>
                <w:highlight w:val="none"/>
              </w:rPr>
              <w:t>21</w:t>
            </w:r>
            <w:r>
              <w:rPr>
                <w:rFonts w:hint="eastAsia" w:ascii="仿宋_GB2312" w:hAnsi="宋体" w:eastAsia="仿宋_GB2312" w:cs="宋体"/>
                <w:color w:val="auto"/>
                <w:kern w:val="0"/>
                <w:sz w:val="20"/>
                <w:szCs w:val="20"/>
                <w:highlight w:val="none"/>
              </w:rPr>
              <w:t>号令）第十五条；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《国务院关于优化建设工程防雷许可的决定》（国发</w:t>
            </w:r>
            <w:r>
              <w:rPr>
                <w:rFonts w:ascii="仿宋_GB2312" w:hAnsi="宋体" w:eastAsia="仿宋_GB2312" w:cs="宋体"/>
                <w:color w:val="auto"/>
                <w:kern w:val="0"/>
                <w:sz w:val="20"/>
                <w:szCs w:val="20"/>
                <w:highlight w:val="none"/>
              </w:rPr>
              <w:t>[2016]39</w:t>
            </w:r>
            <w:r>
              <w:rPr>
                <w:rFonts w:hint="eastAsia" w:ascii="仿宋_GB2312" w:hAnsi="宋体" w:eastAsia="仿宋_GB2312" w:cs="宋体"/>
                <w:color w:val="auto"/>
                <w:kern w:val="0"/>
                <w:sz w:val="20"/>
                <w:szCs w:val="20"/>
                <w:highlight w:val="none"/>
              </w:rPr>
              <w:t>号）</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具备能力的防雷技术服务机构或地方性法规明确的机构</w:t>
            </w:r>
          </w:p>
        </w:tc>
        <w:tc>
          <w:tcPr>
            <w:tcW w:w="1445" w:type="dxa"/>
            <w:gridSpan w:val="2"/>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auto"/>
                <w:w w:val="80"/>
                <w:kern w:val="0"/>
                <w:sz w:val="20"/>
                <w:szCs w:val="20"/>
                <w:highlight w:val="none"/>
              </w:rPr>
            </w:pPr>
            <w:r>
              <w:rPr>
                <w:rFonts w:hint="eastAsia" w:ascii="仿宋_GB2312" w:hAnsi="宋体" w:eastAsia="仿宋_GB2312" w:cs="宋体"/>
                <w:color w:val="auto"/>
                <w:w w:val="80"/>
                <w:kern w:val="0"/>
                <w:sz w:val="20"/>
                <w:szCs w:val="20"/>
                <w:highlight w:val="none"/>
              </w:rPr>
              <w:t>不再要求申请人提供防雷装置设计技术评价报告，改由审批部门委托有关机构开展防雷装置设计技术评价</w:t>
            </w:r>
          </w:p>
          <w:p>
            <w:pPr>
              <w:widowControl/>
              <w:jc w:val="center"/>
              <w:rPr>
                <w:rFonts w:hint="eastAsia" w:ascii="仿宋_GB2312" w:hAnsi="宋体" w:eastAsia="仿宋_GB2312" w:cs="宋体"/>
                <w:color w:val="auto"/>
                <w:w w:val="80"/>
                <w:kern w:val="0"/>
                <w:sz w:val="20"/>
                <w:szCs w:val="20"/>
                <w:highlight w:val="none"/>
              </w:rPr>
            </w:pPr>
          </w:p>
        </w:tc>
      </w:tr>
      <w:tr>
        <w:tblPrEx>
          <w:tblLayout w:type="fixed"/>
          <w:tblCellMar>
            <w:top w:w="0" w:type="dxa"/>
            <w:left w:w="108" w:type="dxa"/>
            <w:bottom w:w="0" w:type="dxa"/>
            <w:right w:w="108" w:type="dxa"/>
          </w:tblCellMar>
        </w:tblPrEx>
        <w:trPr>
          <w:trHeight w:val="918"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ind w:firstLine="100" w:firstLineChars="50"/>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67</w:t>
            </w:r>
          </w:p>
        </w:tc>
        <w:tc>
          <w:tcPr>
            <w:tcW w:w="1417" w:type="dxa"/>
            <w:vMerge w:val="continue"/>
            <w:tcBorders>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新建、改建、扩建建（构）筑物防雷装置检测</w:t>
            </w:r>
          </w:p>
        </w:tc>
        <w:tc>
          <w:tcPr>
            <w:tcW w:w="1559" w:type="dxa"/>
            <w:tcBorders>
              <w:top w:val="single" w:color="auto" w:sz="4" w:space="0"/>
              <w:left w:val="nil"/>
              <w:bottom w:val="nil"/>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区气象局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ascii="仿宋_GB2312" w:hAnsi="宋体" w:eastAsia="仿宋_GB2312" w:cs="宋体"/>
                <w:color w:val="auto"/>
                <w:kern w:val="0"/>
                <w:sz w:val="20"/>
                <w:szCs w:val="20"/>
                <w:highlight w:val="none"/>
              </w:rPr>
              <w:t>1.</w:t>
            </w:r>
            <w:r>
              <w:rPr>
                <w:rFonts w:hint="eastAsia" w:ascii="仿宋_GB2312" w:hAnsi="宋体" w:eastAsia="仿宋_GB2312" w:cs="宋体"/>
                <w:color w:val="auto"/>
                <w:kern w:val="0"/>
                <w:sz w:val="20"/>
                <w:szCs w:val="20"/>
                <w:highlight w:val="none"/>
              </w:rPr>
              <w:t>《防雷装置设计审核和竣工验收规定》第十六条；</w:t>
            </w:r>
            <w:r>
              <w:rPr>
                <w:rFonts w:ascii="仿宋_GB2312" w:hAnsi="宋体" w:eastAsia="仿宋_GB2312" w:cs="宋体"/>
                <w:color w:val="auto"/>
                <w:kern w:val="0"/>
                <w:sz w:val="20"/>
                <w:szCs w:val="20"/>
                <w:highlight w:val="none"/>
              </w:rPr>
              <w:t>2.</w:t>
            </w:r>
            <w:r>
              <w:rPr>
                <w:rFonts w:hint="eastAsia" w:ascii="仿宋_GB2312" w:hAnsi="宋体" w:eastAsia="仿宋_GB2312" w:cs="宋体"/>
                <w:color w:val="auto"/>
                <w:kern w:val="0"/>
                <w:sz w:val="20"/>
                <w:szCs w:val="20"/>
                <w:highlight w:val="none"/>
              </w:rPr>
              <w:t>《国务院关于优化建设工程防雷许可的决定》（国发</w:t>
            </w:r>
            <w:r>
              <w:rPr>
                <w:rFonts w:ascii="仿宋_GB2312" w:hAnsi="宋体" w:eastAsia="仿宋_GB2312" w:cs="宋体"/>
                <w:color w:val="auto"/>
                <w:kern w:val="0"/>
                <w:sz w:val="20"/>
                <w:szCs w:val="20"/>
                <w:highlight w:val="none"/>
              </w:rPr>
              <w:t>[2016]39</w:t>
            </w:r>
            <w:r>
              <w:rPr>
                <w:rFonts w:hint="eastAsia" w:ascii="仿宋_GB2312" w:hAnsi="宋体" w:eastAsia="仿宋_GB2312" w:cs="宋体"/>
                <w:color w:val="auto"/>
                <w:kern w:val="0"/>
                <w:sz w:val="20"/>
                <w:szCs w:val="20"/>
                <w:highlight w:val="none"/>
              </w:rPr>
              <w:t>号）</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具有相应资质的机构</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不再要求申请人提供新建、改建、扩建建（构）筑物防雷装置检测报告，改由审批部门委托有关机构开展新建、改建、扩建建（构）筑物防雷装置检测</w:t>
            </w:r>
          </w:p>
        </w:tc>
      </w:tr>
      <w:tr>
        <w:tblPrEx>
          <w:tblLayout w:type="fixed"/>
          <w:tblCellMar>
            <w:top w:w="0" w:type="dxa"/>
            <w:left w:w="108" w:type="dxa"/>
            <w:bottom w:w="0" w:type="dxa"/>
            <w:right w:w="108" w:type="dxa"/>
          </w:tblCellMar>
        </w:tblPrEx>
        <w:trPr>
          <w:trHeight w:val="720"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p>
          <w:p>
            <w:pPr>
              <w:widowControl/>
              <w:jc w:val="center"/>
              <w:rPr>
                <w:rFonts w:hint="eastAsia" w:ascii="仿宋_GB2312" w:hAnsi="宋体" w:eastAsia="仿宋_GB2312" w:cs="宋体"/>
                <w:color w:val="auto"/>
                <w:kern w:val="0"/>
                <w:sz w:val="20"/>
                <w:szCs w:val="20"/>
                <w:highlight w:val="none"/>
                <w:lang w:val="en-US" w:eastAsia="zh-CN"/>
              </w:rPr>
            </w:pPr>
            <w:r>
              <w:rPr>
                <w:rFonts w:hint="eastAsia" w:ascii="仿宋_GB2312" w:hAnsi="宋体" w:eastAsia="仿宋_GB2312" w:cs="宋体"/>
                <w:color w:val="auto"/>
                <w:kern w:val="0"/>
                <w:sz w:val="20"/>
                <w:szCs w:val="20"/>
                <w:highlight w:val="none"/>
                <w:lang w:val="en-US" w:eastAsia="zh-CN"/>
              </w:rPr>
              <w:t>68</w:t>
            </w:r>
          </w:p>
        </w:tc>
        <w:tc>
          <w:tcPr>
            <w:tcW w:w="1417"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升放无人驾驶自由气球或者系留气球活动审批</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当地气象台出具的施放期间天气情况证明</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区气象局</w:t>
            </w:r>
          </w:p>
        </w:tc>
        <w:tc>
          <w:tcPr>
            <w:tcW w:w="49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《施放气球管理办法》（中国气象局第</w:t>
            </w:r>
            <w:r>
              <w:rPr>
                <w:rFonts w:ascii="仿宋_GB2312" w:hAnsi="宋体" w:eastAsia="仿宋_GB2312" w:cs="宋体"/>
                <w:color w:val="auto"/>
                <w:kern w:val="0"/>
                <w:sz w:val="20"/>
                <w:szCs w:val="20"/>
                <w:highlight w:val="none"/>
              </w:rPr>
              <w:t>9</w:t>
            </w:r>
            <w:r>
              <w:rPr>
                <w:rFonts w:hint="eastAsia" w:ascii="仿宋_GB2312" w:hAnsi="宋体" w:eastAsia="仿宋_GB2312" w:cs="宋体"/>
                <w:color w:val="auto"/>
                <w:kern w:val="0"/>
                <w:sz w:val="20"/>
                <w:szCs w:val="20"/>
                <w:highlight w:val="none"/>
              </w:rPr>
              <w:t>号令）第十七条第四款</w:t>
            </w: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当地气象台</w:t>
            </w:r>
          </w:p>
        </w:tc>
        <w:tc>
          <w:tcPr>
            <w:tcW w:w="1445"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auto"/>
                <w:w w:val="90"/>
                <w:kern w:val="0"/>
                <w:sz w:val="20"/>
                <w:szCs w:val="20"/>
                <w:highlight w:val="none"/>
              </w:rPr>
            </w:pPr>
            <w:r>
              <w:rPr>
                <w:rFonts w:hint="eastAsia" w:ascii="仿宋_GB2312" w:hAnsi="宋体" w:eastAsia="仿宋_GB2312" w:cs="宋体"/>
                <w:color w:val="auto"/>
                <w:w w:val="80"/>
                <w:kern w:val="0"/>
                <w:sz w:val="20"/>
                <w:szCs w:val="20"/>
                <w:highlight w:val="none"/>
              </w:rPr>
              <w:t>不再要求申请人提供施放期间天气情况证明，改由审批部门委托区气象台提供</w:t>
            </w:r>
          </w:p>
        </w:tc>
      </w:tr>
    </w:tbl>
    <w:p/>
    <w:p>
      <w:pPr>
        <w:spacing w:line="100" w:lineRule="exact"/>
        <w:jc w:val="left"/>
        <w:rPr>
          <w:rFonts w:ascii="宋体" w:hAnsi="宋体" w:eastAsia="仿宋_GB2312" w:cs="仿宋_GB2312"/>
          <w:sz w:val="32"/>
          <w:szCs w:val="32"/>
          <w:u w:val="single"/>
        </w:rPr>
      </w:pPr>
    </w:p>
    <w:sectPr>
      <w:headerReference r:id="rId3" w:type="default"/>
      <w:footerReference r:id="rId4" w:type="default"/>
      <w:pgSz w:w="16838" w:h="11906" w:orient="landscape"/>
      <w:pgMar w:top="1474" w:right="2098" w:bottom="1474" w:left="1984"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7F38A"/>
    <w:multiLevelType w:val="singleLevel"/>
    <w:tmpl w:val="5A77F38A"/>
    <w:lvl w:ilvl="0" w:tentative="0">
      <w:start w:val="1"/>
      <w:numFmt w:val="decimal"/>
      <w:suff w:val="nothing"/>
      <w:lvlText w:val="%1."/>
      <w:lvlJc w:val="left"/>
      <w:rPr>
        <w:rFonts w:cs="Times New Roman"/>
      </w:rPr>
    </w:lvl>
  </w:abstractNum>
  <w:abstractNum w:abstractNumId="1">
    <w:nsid w:val="5A77F39A"/>
    <w:multiLevelType w:val="singleLevel"/>
    <w:tmpl w:val="5A77F39A"/>
    <w:lvl w:ilvl="0" w:tentative="0">
      <w:start w:val="1"/>
      <w:numFmt w:val="decimal"/>
      <w:suff w:val="nothing"/>
      <w:lvlText w:val="%1."/>
      <w:lvlJc w:val="left"/>
      <w:rPr>
        <w:rFonts w:cs="Times New Roman"/>
      </w:rPr>
    </w:lvl>
  </w:abstractNum>
  <w:abstractNum w:abstractNumId="2">
    <w:nsid w:val="5A77F4CB"/>
    <w:multiLevelType w:val="singleLevel"/>
    <w:tmpl w:val="5A77F4CB"/>
    <w:lvl w:ilvl="0" w:tentative="0">
      <w:start w:val="1"/>
      <w:numFmt w:val="decimal"/>
      <w:suff w:val="nothing"/>
      <w:lvlText w:val="%1、"/>
      <w:lvlJc w:val="left"/>
      <w:rPr>
        <w:rFonts w:cs="Times New Roman"/>
      </w:rPr>
    </w:lvl>
  </w:abstractNum>
  <w:abstractNum w:abstractNumId="3">
    <w:nsid w:val="5A77F4DE"/>
    <w:multiLevelType w:val="singleLevel"/>
    <w:tmpl w:val="5A77F4DE"/>
    <w:lvl w:ilvl="0" w:tentative="0">
      <w:start w:val="1"/>
      <w:numFmt w:val="decimal"/>
      <w:suff w:val="nothing"/>
      <w:lvlText w:val="%1、"/>
      <w:lvlJc w:val="left"/>
      <w:rPr>
        <w:rFonts w:cs="Times New Roman"/>
      </w:rPr>
    </w:lvl>
  </w:abstractNum>
  <w:abstractNum w:abstractNumId="4">
    <w:nsid w:val="5A77F506"/>
    <w:multiLevelType w:val="singleLevel"/>
    <w:tmpl w:val="5A77F506"/>
    <w:lvl w:ilvl="0" w:tentative="0">
      <w:start w:val="1"/>
      <w:numFmt w:val="decimal"/>
      <w:suff w:val="nothing"/>
      <w:lvlText w:val="%1."/>
      <w:lvlJc w:val="left"/>
      <w:rPr>
        <w:rFonts w:cs="Times New Roman"/>
      </w:rPr>
    </w:lvl>
  </w:abstractNum>
  <w:abstractNum w:abstractNumId="5">
    <w:nsid w:val="5A77F6E1"/>
    <w:multiLevelType w:val="singleLevel"/>
    <w:tmpl w:val="5A77F6E1"/>
    <w:lvl w:ilvl="0" w:tentative="0">
      <w:start w:val="1"/>
      <w:numFmt w:val="decimal"/>
      <w:suff w:val="nothing"/>
      <w:lvlText w:val="%1、"/>
      <w:lvlJc w:val="left"/>
      <w:rPr>
        <w:rFonts w:cs="Times New Roman"/>
      </w:rPr>
    </w:lvl>
  </w:abstractNum>
  <w:abstractNum w:abstractNumId="6">
    <w:nsid w:val="5A77F726"/>
    <w:multiLevelType w:val="singleLevel"/>
    <w:tmpl w:val="5A77F726"/>
    <w:lvl w:ilvl="0" w:tentative="0">
      <w:start w:val="1"/>
      <w:numFmt w:val="decimal"/>
      <w:suff w:val="nothing"/>
      <w:lvlText w:val="%1."/>
      <w:lvlJc w:val="left"/>
      <w:rPr>
        <w:rFonts w:cs="Times New Roman"/>
      </w:rPr>
    </w:lvl>
  </w:abstractNum>
  <w:abstractNum w:abstractNumId="7">
    <w:nsid w:val="5A77F756"/>
    <w:multiLevelType w:val="singleLevel"/>
    <w:tmpl w:val="5A77F756"/>
    <w:lvl w:ilvl="0" w:tentative="0">
      <w:start w:val="1"/>
      <w:numFmt w:val="decimal"/>
      <w:suff w:val="nothing"/>
      <w:lvlText w:val="%1."/>
      <w:lvlJc w:val="left"/>
      <w:rPr>
        <w:rFonts w:cs="Times New Roman"/>
      </w:rPr>
    </w:lvl>
  </w:abstractNum>
  <w:abstractNum w:abstractNumId="8">
    <w:nsid w:val="5A77F76A"/>
    <w:multiLevelType w:val="singleLevel"/>
    <w:tmpl w:val="5A77F76A"/>
    <w:lvl w:ilvl="0" w:tentative="0">
      <w:start w:val="1"/>
      <w:numFmt w:val="decimal"/>
      <w:suff w:val="nothing"/>
      <w:lvlText w:val="%1."/>
      <w:lvlJc w:val="left"/>
      <w:rPr>
        <w:rFonts w:cs="Times New Roman"/>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167FA2"/>
    <w:rsid w:val="00002A12"/>
    <w:rsid w:val="00007F3A"/>
    <w:rsid w:val="0001100F"/>
    <w:rsid w:val="00040DD9"/>
    <w:rsid w:val="000521E2"/>
    <w:rsid w:val="00054BAA"/>
    <w:rsid w:val="00073458"/>
    <w:rsid w:val="00081C11"/>
    <w:rsid w:val="000973CA"/>
    <w:rsid w:val="000A5C5F"/>
    <w:rsid w:val="0012709E"/>
    <w:rsid w:val="001613A7"/>
    <w:rsid w:val="001823C8"/>
    <w:rsid w:val="00184EB9"/>
    <w:rsid w:val="001B0240"/>
    <w:rsid w:val="00224EB7"/>
    <w:rsid w:val="00247E25"/>
    <w:rsid w:val="00261BFE"/>
    <w:rsid w:val="002641EE"/>
    <w:rsid w:val="00265A0F"/>
    <w:rsid w:val="00266932"/>
    <w:rsid w:val="00281595"/>
    <w:rsid w:val="002B4739"/>
    <w:rsid w:val="002F3565"/>
    <w:rsid w:val="002F3BE5"/>
    <w:rsid w:val="002F5656"/>
    <w:rsid w:val="003230B9"/>
    <w:rsid w:val="003461CD"/>
    <w:rsid w:val="00375154"/>
    <w:rsid w:val="00383761"/>
    <w:rsid w:val="003B19B6"/>
    <w:rsid w:val="003E0173"/>
    <w:rsid w:val="003E693A"/>
    <w:rsid w:val="003E6B77"/>
    <w:rsid w:val="003E7709"/>
    <w:rsid w:val="004078B4"/>
    <w:rsid w:val="0041044B"/>
    <w:rsid w:val="00416CF5"/>
    <w:rsid w:val="00462CD7"/>
    <w:rsid w:val="0047430E"/>
    <w:rsid w:val="004A1F5B"/>
    <w:rsid w:val="004D0227"/>
    <w:rsid w:val="005469CD"/>
    <w:rsid w:val="00551721"/>
    <w:rsid w:val="00570AEB"/>
    <w:rsid w:val="005810E2"/>
    <w:rsid w:val="005B28BB"/>
    <w:rsid w:val="005B3731"/>
    <w:rsid w:val="005C281D"/>
    <w:rsid w:val="005C324B"/>
    <w:rsid w:val="005F4E07"/>
    <w:rsid w:val="00621FE0"/>
    <w:rsid w:val="006E5C76"/>
    <w:rsid w:val="006F41F1"/>
    <w:rsid w:val="006F547C"/>
    <w:rsid w:val="00710766"/>
    <w:rsid w:val="00724479"/>
    <w:rsid w:val="00734BBB"/>
    <w:rsid w:val="007476C4"/>
    <w:rsid w:val="00777F8A"/>
    <w:rsid w:val="00782DDF"/>
    <w:rsid w:val="007B631F"/>
    <w:rsid w:val="007E68E2"/>
    <w:rsid w:val="00825F9C"/>
    <w:rsid w:val="008644E5"/>
    <w:rsid w:val="008851A0"/>
    <w:rsid w:val="008A53B0"/>
    <w:rsid w:val="008F58B1"/>
    <w:rsid w:val="00950047"/>
    <w:rsid w:val="00A15488"/>
    <w:rsid w:val="00A31AB3"/>
    <w:rsid w:val="00A5530E"/>
    <w:rsid w:val="00A608C4"/>
    <w:rsid w:val="00A67D1E"/>
    <w:rsid w:val="00A724CE"/>
    <w:rsid w:val="00A81433"/>
    <w:rsid w:val="00AA31C8"/>
    <w:rsid w:val="00AA4690"/>
    <w:rsid w:val="00AD02EF"/>
    <w:rsid w:val="00B312BE"/>
    <w:rsid w:val="00B31884"/>
    <w:rsid w:val="00B53DDA"/>
    <w:rsid w:val="00B67E4C"/>
    <w:rsid w:val="00B933DA"/>
    <w:rsid w:val="00B96753"/>
    <w:rsid w:val="00BB1F64"/>
    <w:rsid w:val="00BE4A5E"/>
    <w:rsid w:val="00C1287D"/>
    <w:rsid w:val="00C30FA9"/>
    <w:rsid w:val="00C3135A"/>
    <w:rsid w:val="00C32210"/>
    <w:rsid w:val="00C514C5"/>
    <w:rsid w:val="00C732B7"/>
    <w:rsid w:val="00C7447A"/>
    <w:rsid w:val="00C84FFB"/>
    <w:rsid w:val="00C906CE"/>
    <w:rsid w:val="00C91BE2"/>
    <w:rsid w:val="00CA23E2"/>
    <w:rsid w:val="00CC2E63"/>
    <w:rsid w:val="00CD084E"/>
    <w:rsid w:val="00D321F6"/>
    <w:rsid w:val="00D5671A"/>
    <w:rsid w:val="00D60879"/>
    <w:rsid w:val="00D7581E"/>
    <w:rsid w:val="00DA4452"/>
    <w:rsid w:val="00E00B44"/>
    <w:rsid w:val="00E01AC2"/>
    <w:rsid w:val="00E04292"/>
    <w:rsid w:val="00E20FD0"/>
    <w:rsid w:val="00E557CA"/>
    <w:rsid w:val="00E63024"/>
    <w:rsid w:val="00E94EAC"/>
    <w:rsid w:val="00EA37E1"/>
    <w:rsid w:val="00EA46B6"/>
    <w:rsid w:val="00EB299A"/>
    <w:rsid w:val="00EC2E18"/>
    <w:rsid w:val="00EE16AE"/>
    <w:rsid w:val="00EE2BF0"/>
    <w:rsid w:val="00EE5516"/>
    <w:rsid w:val="00EF6D52"/>
    <w:rsid w:val="00F01A94"/>
    <w:rsid w:val="00F1164F"/>
    <w:rsid w:val="00F2074F"/>
    <w:rsid w:val="00F27E00"/>
    <w:rsid w:val="00F50EE0"/>
    <w:rsid w:val="00FA0432"/>
    <w:rsid w:val="00FA0472"/>
    <w:rsid w:val="00FA2F72"/>
    <w:rsid w:val="00FD5CD9"/>
    <w:rsid w:val="01FB757B"/>
    <w:rsid w:val="03615AE9"/>
    <w:rsid w:val="053E11AF"/>
    <w:rsid w:val="05C24D0C"/>
    <w:rsid w:val="06666FB3"/>
    <w:rsid w:val="07B60DD2"/>
    <w:rsid w:val="07CC239F"/>
    <w:rsid w:val="08922856"/>
    <w:rsid w:val="09DB1E98"/>
    <w:rsid w:val="0A881F6C"/>
    <w:rsid w:val="0AEA0D56"/>
    <w:rsid w:val="0C654B35"/>
    <w:rsid w:val="0CDE3709"/>
    <w:rsid w:val="0D31519F"/>
    <w:rsid w:val="0FFC671B"/>
    <w:rsid w:val="102F2378"/>
    <w:rsid w:val="106B5E28"/>
    <w:rsid w:val="107D59F6"/>
    <w:rsid w:val="10DF4CE6"/>
    <w:rsid w:val="10F15F01"/>
    <w:rsid w:val="121D59EC"/>
    <w:rsid w:val="12762B27"/>
    <w:rsid w:val="127664FA"/>
    <w:rsid w:val="136873F6"/>
    <w:rsid w:val="13DD6532"/>
    <w:rsid w:val="13F24543"/>
    <w:rsid w:val="147721B1"/>
    <w:rsid w:val="14C103C1"/>
    <w:rsid w:val="14F4689D"/>
    <w:rsid w:val="15627379"/>
    <w:rsid w:val="16D63E70"/>
    <w:rsid w:val="171E117D"/>
    <w:rsid w:val="17502E5A"/>
    <w:rsid w:val="18690518"/>
    <w:rsid w:val="188D5160"/>
    <w:rsid w:val="18A264D4"/>
    <w:rsid w:val="190D63E3"/>
    <w:rsid w:val="192152E5"/>
    <w:rsid w:val="195D0543"/>
    <w:rsid w:val="198E702E"/>
    <w:rsid w:val="19D8763F"/>
    <w:rsid w:val="19EB52B8"/>
    <w:rsid w:val="1BCE3CF5"/>
    <w:rsid w:val="1D255E7B"/>
    <w:rsid w:val="1D8C2D56"/>
    <w:rsid w:val="1DEB1E16"/>
    <w:rsid w:val="1EB06E2B"/>
    <w:rsid w:val="1F3B237A"/>
    <w:rsid w:val="1FFF2BA1"/>
    <w:rsid w:val="219911FD"/>
    <w:rsid w:val="21C00279"/>
    <w:rsid w:val="2264140E"/>
    <w:rsid w:val="22FE3AF2"/>
    <w:rsid w:val="242B4424"/>
    <w:rsid w:val="24375980"/>
    <w:rsid w:val="245C0859"/>
    <w:rsid w:val="246B1A00"/>
    <w:rsid w:val="25CC5F55"/>
    <w:rsid w:val="27BA30C5"/>
    <w:rsid w:val="27CF60AA"/>
    <w:rsid w:val="28302B60"/>
    <w:rsid w:val="28781C1A"/>
    <w:rsid w:val="294B481B"/>
    <w:rsid w:val="29AC151E"/>
    <w:rsid w:val="2A393ECA"/>
    <w:rsid w:val="2AD927D5"/>
    <w:rsid w:val="2B066555"/>
    <w:rsid w:val="2B475ED9"/>
    <w:rsid w:val="2B755326"/>
    <w:rsid w:val="2C1142D9"/>
    <w:rsid w:val="2C27345F"/>
    <w:rsid w:val="2C9011BE"/>
    <w:rsid w:val="2E486430"/>
    <w:rsid w:val="2F2C43EE"/>
    <w:rsid w:val="2F405AE6"/>
    <w:rsid w:val="2F7D0E7F"/>
    <w:rsid w:val="2F823569"/>
    <w:rsid w:val="308E3386"/>
    <w:rsid w:val="30C96D39"/>
    <w:rsid w:val="322E2343"/>
    <w:rsid w:val="32A01089"/>
    <w:rsid w:val="32DC6A19"/>
    <w:rsid w:val="33924608"/>
    <w:rsid w:val="33D17A8D"/>
    <w:rsid w:val="342711B1"/>
    <w:rsid w:val="347E19D9"/>
    <w:rsid w:val="34AE2EB9"/>
    <w:rsid w:val="34E673A9"/>
    <w:rsid w:val="357113F8"/>
    <w:rsid w:val="3868179F"/>
    <w:rsid w:val="391555D7"/>
    <w:rsid w:val="3AB07982"/>
    <w:rsid w:val="3C1C4A95"/>
    <w:rsid w:val="3D490F28"/>
    <w:rsid w:val="3D6F40FB"/>
    <w:rsid w:val="3E52259C"/>
    <w:rsid w:val="3E956835"/>
    <w:rsid w:val="3EA81996"/>
    <w:rsid w:val="3EE452B8"/>
    <w:rsid w:val="3F6824A7"/>
    <w:rsid w:val="428173E4"/>
    <w:rsid w:val="44E86F28"/>
    <w:rsid w:val="451B48C6"/>
    <w:rsid w:val="455C50CA"/>
    <w:rsid w:val="45BC5A8A"/>
    <w:rsid w:val="46313CAA"/>
    <w:rsid w:val="468A3D3F"/>
    <w:rsid w:val="46E17A76"/>
    <w:rsid w:val="48A123AA"/>
    <w:rsid w:val="48AA2E63"/>
    <w:rsid w:val="48BD662B"/>
    <w:rsid w:val="491C35C9"/>
    <w:rsid w:val="49F5725E"/>
    <w:rsid w:val="49FE34CE"/>
    <w:rsid w:val="4A087A92"/>
    <w:rsid w:val="4A7B5F2C"/>
    <w:rsid w:val="4B2F306B"/>
    <w:rsid w:val="4B916D3E"/>
    <w:rsid w:val="4C670D42"/>
    <w:rsid w:val="4CC05B35"/>
    <w:rsid w:val="4D1F048E"/>
    <w:rsid w:val="4D5922A5"/>
    <w:rsid w:val="4EA8347C"/>
    <w:rsid w:val="4EDB4488"/>
    <w:rsid w:val="4F387EFD"/>
    <w:rsid w:val="4FD8436A"/>
    <w:rsid w:val="51154791"/>
    <w:rsid w:val="51F640E1"/>
    <w:rsid w:val="544B18A0"/>
    <w:rsid w:val="548B6550"/>
    <w:rsid w:val="55646961"/>
    <w:rsid w:val="55661D9E"/>
    <w:rsid w:val="558E0AD6"/>
    <w:rsid w:val="56065DDB"/>
    <w:rsid w:val="56352DB9"/>
    <w:rsid w:val="564E21CC"/>
    <w:rsid w:val="58B74902"/>
    <w:rsid w:val="5A343FFE"/>
    <w:rsid w:val="5A74427E"/>
    <w:rsid w:val="5AB553A9"/>
    <w:rsid w:val="5B4C3DC2"/>
    <w:rsid w:val="5B8F6DC5"/>
    <w:rsid w:val="5C9206CE"/>
    <w:rsid w:val="5D45468B"/>
    <w:rsid w:val="5D6854EC"/>
    <w:rsid w:val="5DE45139"/>
    <w:rsid w:val="5E735DB1"/>
    <w:rsid w:val="5FA26A05"/>
    <w:rsid w:val="61B92F99"/>
    <w:rsid w:val="62641179"/>
    <w:rsid w:val="629953D2"/>
    <w:rsid w:val="62C75F5C"/>
    <w:rsid w:val="63036E1D"/>
    <w:rsid w:val="633575DD"/>
    <w:rsid w:val="633C0845"/>
    <w:rsid w:val="639E18A1"/>
    <w:rsid w:val="63D12004"/>
    <w:rsid w:val="64FE52E2"/>
    <w:rsid w:val="650B74F3"/>
    <w:rsid w:val="65EA30C3"/>
    <w:rsid w:val="6782347E"/>
    <w:rsid w:val="67AA4173"/>
    <w:rsid w:val="67AF1E1E"/>
    <w:rsid w:val="684E5BCC"/>
    <w:rsid w:val="69933FA6"/>
    <w:rsid w:val="69B336A0"/>
    <w:rsid w:val="69DE5FF0"/>
    <w:rsid w:val="6A167FA2"/>
    <w:rsid w:val="6A407289"/>
    <w:rsid w:val="6B120118"/>
    <w:rsid w:val="6B512584"/>
    <w:rsid w:val="6C5B39B3"/>
    <w:rsid w:val="6D1D07DF"/>
    <w:rsid w:val="6DA04B76"/>
    <w:rsid w:val="6DFD704E"/>
    <w:rsid w:val="6E035D42"/>
    <w:rsid w:val="70656694"/>
    <w:rsid w:val="715D5F5B"/>
    <w:rsid w:val="71F010F8"/>
    <w:rsid w:val="74C10C3B"/>
    <w:rsid w:val="75571F89"/>
    <w:rsid w:val="76ED366A"/>
    <w:rsid w:val="78732377"/>
    <w:rsid w:val="78A92DC0"/>
    <w:rsid w:val="79F313D4"/>
    <w:rsid w:val="7BEB1F3C"/>
    <w:rsid w:val="7C000AA8"/>
    <w:rsid w:val="7C1A039E"/>
    <w:rsid w:val="7C637551"/>
    <w:rsid w:val="7C6375C1"/>
    <w:rsid w:val="7CB35279"/>
    <w:rsid w:val="7E160520"/>
    <w:rsid w:val="7F80003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Footer Char"/>
    <w:basedOn w:val="4"/>
    <w:link w:val="2"/>
    <w:qFormat/>
    <w:locked/>
    <w:uiPriority w:val="99"/>
    <w:rPr>
      <w:rFonts w:ascii="Calibri" w:hAnsi="Calibri" w:cs="Times New Roman"/>
      <w:kern w:val="2"/>
      <w:sz w:val="18"/>
      <w:szCs w:val="18"/>
    </w:rPr>
  </w:style>
  <w:style w:type="character" w:customStyle="1" w:styleId="8">
    <w:name w:val="Header Char"/>
    <w:basedOn w:val="4"/>
    <w:link w:val="3"/>
    <w:qFormat/>
    <w:locked/>
    <w:uiPriority w:val="99"/>
    <w:rPr>
      <w:rFonts w:ascii="Calibri" w:hAnsi="Calibri" w:cs="Times New Roman"/>
      <w:kern w:val="2"/>
      <w:sz w:val="18"/>
      <w:szCs w:val="18"/>
    </w:rPr>
  </w:style>
  <w:style w:type="paragraph" w:customStyle="1" w:styleId="9">
    <w:name w:val="正文 New"/>
    <w:qFormat/>
    <w:uiPriority w:val="99"/>
    <w:pPr>
      <w:widowControl w:val="0"/>
      <w:jc w:val="both"/>
    </w:pPr>
    <w:rPr>
      <w:rFonts w:ascii="Calibri" w:hAnsi="Calibri" w:eastAsia="宋体" w:cs="Times New Roman"/>
      <w:kern w:val="2"/>
      <w:sz w:val="32"/>
      <w:szCs w:val="22"/>
      <w:lang w:val="en-US" w:eastAsia="zh-CN" w:bidi="ar-SA"/>
    </w:rPr>
  </w:style>
  <w:style w:type="paragraph" w:customStyle="1" w:styleId="10">
    <w:name w:val="Char2 Char Char Char Char Char Char Char Char1 Char"/>
    <w:basedOn w:val="1"/>
    <w:qFormat/>
    <w:uiPriority w:val="99"/>
    <w:rPr>
      <w:rFonts w:ascii="Times New Roman" w:hAnsi="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52"/>
    <customShpInfo spid="_x0000_s1053"/>
    <customShpInfo spid="_x0000_s1055"/>
    <customShpInfo spid="_x0000_s1057"/>
    <customShpInfo spid="_x0000_s1058"/>
    <customShpInfo spid="_x0000_s1060"/>
    <customShpInfo spid="_x0000_s106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20</Pages>
  <Words>1776</Words>
  <Characters>10128</Characters>
  <Lines>0</Lines>
  <Paragraphs>0</Paragraphs>
  <TotalTime>70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2017-06-06T01:12:00Z</dcterms:created>
  <dc:creator>Administrator</dc:creator>
  <cp:lastModifiedBy>Administrator</cp:lastModifiedBy>
  <cp:lastPrinted>2018-02-07T07:59:00Z</cp:lastPrinted>
  <dcterms:modified xsi:type="dcterms:W3CDTF">2018-10-11T06:03:29Z</dcterms:modified>
  <dc:title>关于印发石家庄市全面编制公开政务服务事项目录清单和实施清单方案的请示</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