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ascii="Times New Roman" w:hAnsi="Times New Roman" w:eastAsia="方正小标宋简体" w:cs="Times New Roman"/>
          <w:sz w:val="44"/>
          <w:szCs w:val="44"/>
        </w:rPr>
      </w:pPr>
    </w:p>
    <w:p>
      <w:pPr>
        <w:spacing w:line="584" w:lineRule="exact"/>
        <w:ind w:firstLine="3960" w:firstLineChars="900"/>
        <w:jc w:val="both"/>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中共</w:t>
      </w:r>
      <w:r>
        <w:rPr>
          <w:rFonts w:ascii="Times New Roman" w:hAnsi="Times New Roman" w:eastAsia="方正小标宋简体" w:cs="Times New Roman"/>
          <w:sz w:val="44"/>
          <w:szCs w:val="44"/>
        </w:rPr>
        <w:t>香河县</w:t>
      </w:r>
      <w:r>
        <w:rPr>
          <w:rFonts w:hint="eastAsia" w:ascii="Times New Roman" w:hAnsi="Times New Roman" w:eastAsia="方正小标宋简体" w:cs="Times New Roman"/>
          <w:sz w:val="44"/>
          <w:szCs w:val="44"/>
          <w:lang w:eastAsia="zh-CN"/>
        </w:rPr>
        <w:t>委机构编制委员会办公室</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eastAsia="zh-CN"/>
        </w:rPr>
        <w:t>中共</w:t>
      </w:r>
      <w:r>
        <w:rPr>
          <w:rFonts w:ascii="Times New Roman" w:hAnsi="Times New Roman" w:eastAsia="仿宋_GB2312" w:cs="Times New Roman"/>
          <w:sz w:val="32"/>
          <w:szCs w:val="32"/>
        </w:rPr>
        <w:t>香河县</w:t>
      </w:r>
      <w:r>
        <w:rPr>
          <w:rFonts w:hint="eastAsia" w:ascii="Times New Roman" w:hAnsi="Times New Roman" w:eastAsia="仿宋_GB2312" w:cs="Times New Roman"/>
          <w:sz w:val="32"/>
          <w:szCs w:val="32"/>
          <w:lang w:eastAsia="zh-CN"/>
        </w:rPr>
        <w:t>委机构编制委员会办公室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落实党中央、省委、市委和县委关于行政管理体制和机构改革以及机构编制管理的政策法规，组织拟订相关政策规定和地方规范性文件并监督实施。管理和指导全县各级党委、人大、政府、政协、监察委机关，各民主党派、人民团体机关以及全县事业单位的机构编制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（二）组织拟订全县行政管理体制改革和县委、县政府机构改革方案并组织实施。指导全县行政管理体制和机构改革以及机构编制管理工作; 负责行政执法体制改革工作。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（三）协调县委、县政府各</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的职能配置及其调整。协调县委、县政府</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之间以及县直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与镇之间的职责分工。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（四）审核或审批县委、县政府各</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及各部门派出机构的职能配置、机构设置、人员编制和领导职数；审核县人大、县政协、县监察委和县级各民主党派、人民团体机关的职能配置、机构设置、人员编制和领导职数。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（五）审核县、镇党委、政府机构设置和调整事宜；审核县人大、政协、监察委和各民主党派、人民团体机关机构设置和调整事宜；审核县、镇机构编制分类；负责需要承办的省市垂直管理</w:t>
      </w:r>
      <w:bookmarkStart w:id="2" w:name="_GoBack"/>
      <w:bookmarkEnd w:id="2"/>
      <w:r>
        <w:rPr>
          <w:rFonts w:ascii="Times New Roman" w:hAnsi="Times New Roman" w:eastAsia="仿宋_GB2312" w:cs="Times New Roman"/>
          <w:sz w:val="32"/>
          <w:szCs w:val="32"/>
        </w:rPr>
        <w:t>部门或双重管理部门（单位）机构编制有关事宜。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拟订全县事业单位管理体制和机构改革方案。贯彻执行各类事业单位人员编制标准和管理办法，负责推进事业单位机构编制标准体系建设；审核或审批县委、县政府直属事业单位和部门所属事业单位的机构编制事宜。负责全县党政群机关统一社会信用代码赋码管理工作，负责全县事业单位法人登记管理和监督检查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（七）指导县开发区（园区）行政管理体制改革工作。贯彻落实省级以上开发区（园区）机构编制管理办法，审核省级以上开发区（园区）职能配置、机构设置、人员编制和领导职数。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（八）负责全县机构编制的总量控制和动态管理。会同有关部门负责机构编制实名制工作；负责县直机关事业单位编制使用核准；建立健全机构编制部门与有关部门的协调配合约束机制。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（九）负责对各级行政、事业单位管理体制和机构改革及机构编制执行情况的跟踪评估和监督检查。负责受理违反机构编制法规、纪律的检举、控告和投诉，对违反机构编制法规、纪律问题进行调查处理。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（十）负责全县机构编制电子政务和信息化工作。负责全县机构编制统计工作；负责机构编制网站的建设管理以及网络安全工作；指导全县党政群机关、事业单位和其他非营利性单位网上名称管理工作。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（十一）组织开展行政体制改革及机构编制管理创新基础性和前瞻性研究。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（十二）承办县委、县政府和县委机构编制委员会交办的其他任务。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sz w:val="32"/>
                <w:szCs w:val="32"/>
                <w:lang w:eastAsia="zh-CN"/>
              </w:rPr>
              <w:t>中共</w:t>
            </w:r>
            <w:r>
              <w:rPr>
                <w:rFonts w:ascii="Times New Roman" w:hAnsi="Times New Roman" w:eastAsia="仿宋_GB2312" w:cs="Times New Roman"/>
                <w:sz w:val="32"/>
                <w:szCs w:val="32"/>
              </w:rPr>
              <w:t>香河县</w:t>
            </w:r>
            <w:r>
              <w:rPr>
                <w:rFonts w:hint="eastAsia" w:ascii="Times New Roman" w:hAnsi="Times New Roman" w:eastAsia="仿宋_GB2312" w:cs="Times New Roman"/>
                <w:sz w:val="32"/>
                <w:szCs w:val="32"/>
                <w:lang w:eastAsia="zh-CN"/>
              </w:rPr>
              <w:t>委机构编制委员会办公室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sz w:val="32"/>
                <w:szCs w:val="32"/>
                <w:lang w:val="en-US" w:eastAsia="zh-CN"/>
              </w:rPr>
              <w:t>行政单位</w:t>
            </w:r>
          </w:p>
        </w:tc>
        <w:tc>
          <w:tcPr>
            <w:tcW w:w="1276" w:type="dxa"/>
            <w:shd w:val="clear" w:color="auto" w:fill="auto"/>
            <w:vAlign w:val="center"/>
          </w:tcPr>
          <w:p>
            <w:pPr>
              <w:rPr>
                <w:rFonts w:ascii="Times New Roman" w:hAnsi="Times New Roman" w:eastAsia="仿宋_GB2312" w:cs="Times New Roman"/>
                <w:b/>
              </w:rPr>
            </w:pPr>
            <w:r>
              <w:rPr>
                <w:rFonts w:ascii="Times New Roman" w:hAnsi="Times New Roman" w:eastAsia="仿宋_GB2312" w:cs="Times New Roman"/>
                <w:sz w:val="32"/>
                <w:szCs w:val="32"/>
              </w:rPr>
              <w:t>正科级</w:t>
            </w:r>
          </w:p>
        </w:tc>
        <w:tc>
          <w:tcPr>
            <w:tcW w:w="2902" w:type="dxa"/>
            <w:shd w:val="clear" w:color="auto" w:fill="auto"/>
            <w:vAlign w:val="center"/>
          </w:tcPr>
          <w:p>
            <w:pPr>
              <w:ind w:firstLine="640" w:firstLineChars="200"/>
              <w:rPr>
                <w:rFonts w:ascii="Times New Roman" w:hAnsi="Times New Roman" w:eastAsia="仿宋_GB2312" w:cs="Times New Roman"/>
                <w:b/>
              </w:rPr>
            </w:pPr>
            <w:r>
              <w:rPr>
                <w:rFonts w:ascii="Times New Roman" w:hAnsi="Times New Roman" w:eastAsia="仿宋_GB2312" w:cs="Times New Roman"/>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sz w:val="32"/>
          <w:szCs w:val="32"/>
        </w:rPr>
        <w:t>中共香河县委机构编制委员会办公</w:t>
      </w:r>
      <w:r>
        <w:rPr>
          <w:rFonts w:hint="eastAsia" w:ascii="Times New Roman" w:hAnsi="Times New Roman" w:eastAsia="仿宋_GB2312" w:cs="Times New Roman"/>
          <w:sz w:val="32"/>
          <w:szCs w:val="32"/>
        </w:rPr>
        <w:t>室</w:t>
      </w:r>
      <w:r>
        <w:rPr>
          <w:rFonts w:ascii="Times New Roman" w:hAnsi="Times New Roman" w:eastAsia="仿宋_GB2312" w:cs="Times New Roman"/>
          <w:sz w:val="32"/>
          <w:szCs w:val="32"/>
        </w:rPr>
        <w:t>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年预算收入608.02万元，其中：一般公共预算收入608.02万元，基金预算收入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sz w:val="32"/>
          <w:szCs w:val="32"/>
        </w:rPr>
        <w:t>中共香河县委机构编制委员会办公</w:t>
      </w:r>
      <w:r>
        <w:rPr>
          <w:rFonts w:hint="eastAsia" w:ascii="Times New Roman" w:hAnsi="Times New Roman" w:eastAsia="仿宋_GB2312" w:cs="Times New Roman"/>
          <w:sz w:val="32"/>
          <w:szCs w:val="32"/>
        </w:rPr>
        <w:t>室</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年支出预算608.02万元，其中基本</w:t>
      </w:r>
      <w:r>
        <w:rPr>
          <w:rFonts w:hint="eastAsia" w:ascii="Times New Roman" w:hAnsi="Times New Roman" w:eastAsia="仿宋_GB2312" w:cs="Times New Roman"/>
          <w:sz w:val="32"/>
          <w:szCs w:val="32"/>
        </w:rPr>
        <w:t>支出374.87万元</w:t>
      </w:r>
      <w:r>
        <w:rPr>
          <w:rFonts w:ascii="Times New Roman" w:hAnsi="Times New Roman" w:eastAsia="仿宋_GB2312" w:cs="Times New Roman"/>
          <w:sz w:val="32"/>
          <w:szCs w:val="32"/>
        </w:rPr>
        <w:t>，包括人员类项目经费342.65万元和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公用项目经费32.22万元；运转类其他及特定目标类项目支出233.15万元，包括本级支出，主要为</w:t>
      </w:r>
      <w:r>
        <w:rPr>
          <w:rFonts w:ascii="Times New Roman" w:hAnsi="Times New Roman" w:eastAsia="仿宋_GB2312"/>
          <w:sz w:val="32"/>
          <w:szCs w:val="32"/>
        </w:rPr>
        <w:t>县、镇机构改革、机构调整、职能调整工作经费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机构编制监督检查和事业单位法人登记工作经费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机构编制系统等网络维护经费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中文域名网站开通经费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单位办公场所租金等支出</w:t>
      </w:r>
      <w:r>
        <w:rPr>
          <w:rFonts w:hint="eastAsia" w:ascii="Times New Roman" w:hAnsi="Times New Roman" w:eastAsia="仿宋_GB2312"/>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年预算收支安排608.02</w:t>
      </w:r>
      <w:r>
        <w:rPr>
          <w:rFonts w:hint="eastAsia" w:ascii="Times New Roman" w:hAnsi="Times New Roman" w:eastAsia="仿宋_GB2312" w:cs="Times New Roman"/>
          <w:sz w:val="32"/>
          <w:szCs w:val="32"/>
        </w:rPr>
        <w:t>万元，较2022年预算增加</w:t>
      </w:r>
      <w:r>
        <w:rPr>
          <w:rFonts w:hint="eastAsia" w:ascii="Times New Roman" w:hAnsi="Times New Roman" w:eastAsia="仿宋_GB2312" w:cs="Times New Roman"/>
          <w:sz w:val="32"/>
          <w:szCs w:val="32"/>
          <w:lang w:val="en-US" w:eastAsia="zh-CN"/>
        </w:rPr>
        <w:t>143.02</w:t>
      </w:r>
      <w:r>
        <w:rPr>
          <w:rFonts w:hint="eastAsia"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142.11</w:t>
      </w:r>
      <w:r>
        <w:rPr>
          <w:rFonts w:hint="eastAsia"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hint="eastAsia"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0.92</w:t>
      </w:r>
      <w:r>
        <w:rPr>
          <w:rFonts w:hint="eastAsia" w:ascii="Times New Roman" w:hAnsi="Times New Roman" w:eastAsia="仿宋_GB2312" w:cs="Times New Roman"/>
          <w:sz w:val="32"/>
          <w:szCs w:val="32"/>
        </w:rPr>
        <w:t>万元，主要</w:t>
      </w:r>
      <w:r>
        <w:rPr>
          <w:rFonts w:ascii="Times New Roman" w:hAnsi="Times New Roman" w:eastAsia="仿宋_GB2312" w:cs="Times New Roman"/>
          <w:sz w:val="32"/>
          <w:szCs w:val="32"/>
        </w:rPr>
        <w:t>为</w:t>
      </w:r>
      <w:r>
        <w:rPr>
          <w:rFonts w:hint="eastAsia" w:ascii="Times New Roman" w:hAnsi="Times New Roman" w:eastAsia="仿宋_GB2312"/>
          <w:sz w:val="32"/>
          <w:szCs w:val="32"/>
          <w:lang w:eastAsia="zh-CN"/>
        </w:rPr>
        <w:t>办公场所租赁</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机关运行经费共计安排32.22万元，主要用于</w:t>
      </w:r>
      <w:r>
        <w:rPr>
          <w:rFonts w:hint="eastAsia" w:ascii="Times New Roman" w:hAnsi="Times New Roman" w:eastAsia="仿宋_GB2312"/>
          <w:sz w:val="32"/>
          <w:szCs w:val="32"/>
        </w:rPr>
        <w:t>办公区的</w:t>
      </w:r>
      <w:r>
        <w:rPr>
          <w:rFonts w:ascii="Times New Roman" w:hAnsi="Times New Roman" w:eastAsia="仿宋_GB2312"/>
          <w:sz w:val="32"/>
          <w:szCs w:val="32"/>
        </w:rPr>
        <w:t>日常维修、</w:t>
      </w:r>
      <w:r>
        <w:rPr>
          <w:rFonts w:hint="eastAsia" w:ascii="Times New Roman" w:hAnsi="Times New Roman" w:eastAsia="仿宋_GB2312"/>
          <w:sz w:val="32"/>
          <w:szCs w:val="32"/>
        </w:rPr>
        <w:t>办公及印刷费、邮电费、公务用车运行维护费</w:t>
      </w:r>
      <w:r>
        <w:rPr>
          <w:rFonts w:ascii="Times New Roman" w:hAnsi="Times New Roman" w:eastAsia="仿宋_GB2312"/>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0.19</w:t>
      </w:r>
      <w:r>
        <w:rPr>
          <w:rFonts w:ascii="Times New Roman" w:hAnsi="Times New Roman" w:eastAsia="仿宋_GB2312" w:cs="Times New Roman"/>
          <w:sz w:val="32"/>
          <w:szCs w:val="32"/>
        </w:rPr>
        <w:t>万元（其中：公务用车购置费与20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年相比持平，无增减变化，公务用车运维费与20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年相比减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w:t>
      </w:r>
      <w:r>
        <w:rPr>
          <w:rFonts w:hint="eastAsia" w:ascii="Times New Roman" w:hAnsi="黑体" w:eastAsia="黑体" w:cs="Times New Roman"/>
          <w:sz w:val="32"/>
          <w:szCs w:val="32"/>
          <w:lang w:eastAsia="zh-CN"/>
        </w:rPr>
        <w:t>单位</w:t>
      </w:r>
      <w:r>
        <w:rPr>
          <w:rFonts w:hint="eastAsia" w:ascii="Times New Roman" w:hAnsi="黑体"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党中央、省委、市委和县委关于行政管理体制和机构改革以及机构编制管理的政策法规，组织拟订相关政策规定和地方规范性文件并监督实施。管理和指导全县各级党委、人大、政府、政协、监察委机关，各民主党派、人民团体机关以及全县事业单位的机构编制工作。通过项目的开展，持续完善我县党政机构职能体系，推进重要领域体制机制创新，统筹配置各类编制资源，确保我县党政群机构改革顺利推进和全县各项工作的顺利开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firstLine="643" w:firstLineChars="200"/>
        <w:jc w:val="left"/>
        <w:rPr>
          <w:rFonts w:ascii="Times New Roman" w:hAnsi="Times New Roman" w:eastAsia="仿宋_GB2312"/>
          <w:sz w:val="32"/>
          <w:szCs w:val="32"/>
        </w:rPr>
      </w:pPr>
      <w:r>
        <w:rPr>
          <w:rFonts w:hint="eastAsia" w:ascii="楷体_GB2312" w:eastAsia="楷体_GB2312" w:cs="Times New Roman"/>
          <w:b/>
          <w:sz w:val="32"/>
          <w:szCs w:val="32"/>
          <w:lang w:val="en-US" w:eastAsia="zh-CN"/>
        </w:rPr>
        <w:t xml:space="preserve">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县、镇机构改革、机构调整、职能调整工作经费。通过项目的开展，持续完善我县党政机构职能体系，推进重要领域体制机制创新，统筹配置各类编制资源，确保我县党政群机构改革顺利推进和全县各项工作的顺利开展。</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机构编制监督检查和事业单位法人登记工作经费。安排事业单位法人登记工作项目，用于事业单位法人初始登记、变更、注销等工作随时开展、用于事业单位法人年度报告工作、全县机关、群团统一社会信用代码赋码工作和用于对事业单位法人实施“双随机、一公开”监管工作，项目全年开展。用于全县加强机构编制监督检查工作，在项目实施过程中，中共香河县委机构编制委员会办公室主要承担全县加强机构编制管理监督检查，严格控制机构编制和人员增长职责，开展对</w:t>
      </w:r>
      <w:r>
        <w:rPr>
          <w:rFonts w:hint="eastAsia" w:ascii="Times New Roman" w:hAnsi="Times New Roman" w:eastAsia="仿宋_GB2312"/>
          <w:sz w:val="32"/>
          <w:szCs w:val="32"/>
          <w:lang w:eastAsia="zh-CN"/>
        </w:rPr>
        <w:t>全县</w:t>
      </w:r>
      <w:r>
        <w:rPr>
          <w:rFonts w:ascii="Times New Roman" w:hAnsi="Times New Roman" w:eastAsia="仿宋_GB2312"/>
          <w:sz w:val="32"/>
          <w:szCs w:val="32"/>
        </w:rPr>
        <w:t>党政部门</w:t>
      </w:r>
      <w:r>
        <w:rPr>
          <w:rFonts w:hint="eastAsia" w:ascii="Times New Roman" w:hAnsi="Times New Roman" w:eastAsia="仿宋_GB2312"/>
          <w:sz w:val="32"/>
          <w:szCs w:val="32"/>
          <w:lang w:eastAsia="zh-CN"/>
        </w:rPr>
        <w:t>、</w:t>
      </w:r>
      <w:r>
        <w:rPr>
          <w:rFonts w:ascii="Times New Roman" w:hAnsi="Times New Roman" w:eastAsia="仿宋_GB2312"/>
          <w:sz w:val="32"/>
          <w:szCs w:val="32"/>
        </w:rPr>
        <w:t>乡镇</w:t>
      </w:r>
      <w:r>
        <w:rPr>
          <w:rFonts w:hint="eastAsia" w:ascii="Times New Roman" w:hAnsi="Times New Roman" w:eastAsia="仿宋_GB2312"/>
          <w:sz w:val="32"/>
          <w:szCs w:val="32"/>
          <w:lang w:eastAsia="zh-CN"/>
        </w:rPr>
        <w:t>、</w:t>
      </w:r>
      <w:r>
        <w:rPr>
          <w:rFonts w:ascii="Times New Roman" w:hAnsi="Times New Roman" w:eastAsia="仿宋_GB2312"/>
          <w:sz w:val="32"/>
          <w:szCs w:val="32"/>
        </w:rPr>
        <w:t>群团机关</w:t>
      </w:r>
      <w:r>
        <w:rPr>
          <w:rFonts w:hint="eastAsia" w:ascii="Times New Roman" w:hAnsi="Times New Roman" w:eastAsia="仿宋_GB2312"/>
          <w:sz w:val="32"/>
          <w:szCs w:val="32"/>
          <w:lang w:eastAsia="zh-CN"/>
        </w:rPr>
        <w:t>、</w:t>
      </w:r>
      <w:r>
        <w:rPr>
          <w:rFonts w:ascii="Times New Roman" w:hAnsi="Times New Roman" w:eastAsia="仿宋_GB2312"/>
          <w:sz w:val="32"/>
          <w:szCs w:val="32"/>
        </w:rPr>
        <w:t>人大政协</w:t>
      </w:r>
      <w:r>
        <w:rPr>
          <w:rFonts w:hint="eastAsia" w:ascii="Times New Roman" w:hAnsi="Times New Roman" w:eastAsia="仿宋_GB2312"/>
          <w:sz w:val="32"/>
          <w:szCs w:val="32"/>
          <w:lang w:eastAsia="zh-CN"/>
        </w:rPr>
        <w:t>的</w:t>
      </w:r>
      <w:r>
        <w:rPr>
          <w:rFonts w:ascii="Times New Roman" w:hAnsi="Times New Roman" w:eastAsia="仿宋_GB2312"/>
          <w:sz w:val="32"/>
          <w:szCs w:val="32"/>
        </w:rPr>
        <w:t>机构编制管理监督检查工作。</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机构编制系统等网络维护经费。为保障编办的正常办公，对编办日常使用的电脑、打印机等设备开展电脑硬件、网络系统维护项目，内容主要包括：1、网络设备的调试维护及更新；2、查杀毒及网络畅通检查维护维修；3、电脑内部清洁、除尘等；4、对日常使用设备的检查维修工作；</w:t>
      </w:r>
    </w:p>
    <w:p>
      <w:pPr>
        <w:autoSpaceDE w:val="0"/>
        <w:autoSpaceDN w:val="0"/>
        <w:adjustRightInd w:val="0"/>
        <w:spacing w:line="584" w:lineRule="exact"/>
        <w:ind w:left="197" w:leftChars="94"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中文域名网站开通经费。根据《关于进一步加强党政机群机关和事业单位网上名称管理工作的通知》，由中共香河县委机构编制委员会办公室主要承担中文域名注册管理，开展对全县机关事业单位的中文域名续费工作，确保各机关事业单位网站的正常运行。</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1、加强中文域名管理,加大推广力度。按照市编办要求，为进一步提升网站建设管理水平，促进政府网站健康有序发展。</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2、对使用的电脑、打印机等设备进行常规检查、清洁除尘及进行日常维护工作，发现问题及时通知有关人员进行维修，确保正常使用。</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3、根据机构改革情况，制定各机关事业单位编制、岗位、职责等构成，及时印发至各单位。每月开展实名制数据月报工作，年底开展年度统计分析工作，加强和完善机构编制信息管理平台建设。</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4、不断优化登记管理，探索事业单位监督管理方式创新，切实履行登记管理职能，努力提升监管服务水平。</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p>
    <w:p>
      <w:pPr>
        <w:autoSpaceDE w:val="0"/>
        <w:autoSpaceDN w:val="0"/>
        <w:adjustRightInd w:val="0"/>
        <w:spacing w:line="584" w:lineRule="exact"/>
        <w:jc w:val="left"/>
        <w:rPr>
          <w:rFonts w:ascii="Times New Roman" w:hAnsi="Times New Roman" w:eastAsia="仿宋_GB2312"/>
          <w:sz w:val="32"/>
          <w:szCs w:val="32"/>
        </w:rPr>
      </w:pPr>
    </w:p>
    <w:p>
      <w:pPr>
        <w:spacing w:line="584"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640" w:firstLineChars="200"/>
        <w:rPr>
          <w:rFonts w:hint="eastAsia" w:ascii="Times New Roman" w:hAnsi="黑体" w:eastAsia="黑体" w:cs="Times New Roman"/>
          <w:sz w:val="32"/>
          <w:szCs w:val="32"/>
        </w:rPr>
      </w:pPr>
    </w:p>
    <w:p>
      <w:pPr>
        <w:spacing w:before="0" w:after="0"/>
        <w:ind w:firstLine="560"/>
        <w:jc w:val="left"/>
        <w:outlineLvl w:val="3"/>
        <w:rPr>
          <w:rFonts w:hint="eastAsia" w:ascii="仿宋_GB2312" w:hAnsi="仿宋_GB2312" w:eastAsia="仿宋_GB2312" w:cs="仿宋_GB2312"/>
        </w:rPr>
      </w:pPr>
      <w:r>
        <w:rPr>
          <w:rFonts w:hint="eastAsia" w:ascii="Times New Roman" w:hAnsi="Times New Roman" w:eastAsia="仿宋_GB2312" w:cs="Times New Roman"/>
          <w:sz w:val="28"/>
        </w:rPr>
        <w:t>1.事业单位奖励性绩效工资绩效目标表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b/>
              </w:rPr>
            </w:pPr>
            <w:r>
              <w:rPr>
                <w:rFonts w:ascii="Times New Roman" w:hAnsi="Times New Roman" w:eastAsia="仿宋_GB2312" w:cs="Times New Roman"/>
                <w:kern w:val="2"/>
                <w:sz w:val="24"/>
                <w:szCs w:val="24"/>
                <w:lang w:val="en-US" w:eastAsia="zh-CN" w:bidi="ar-SA"/>
              </w:rPr>
              <w:t>保障工作人员工资按时发放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人员数量</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在职人员数量</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≥8人</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工资保障率</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工资发放保障率</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100比率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完成及时率</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发放及时率</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100比率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总预算成本</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总成本</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1000元</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资金拨付率</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资金拨付率</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≥95比率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维护工作人员权益</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维护工作人员权益，促进社会和谐稳定</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维护工作人员权益，促进社会和谐稳定</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工作人员满意度</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工作人员满意度</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≥95比率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满意度调查</w:t>
            </w:r>
          </w:p>
        </w:tc>
      </w:tr>
    </w:tbl>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rPr>
      </w:pPr>
      <w:r>
        <w:rPr>
          <w:rFonts w:hint="default" w:ascii="Times New Roman" w:hAnsi="Times New Roman" w:eastAsia="仿宋_GB2312" w:cs="Times New Roman"/>
          <w:sz w:val="28"/>
        </w:rPr>
        <w:t>2.</w:t>
      </w:r>
      <w:r>
        <w:rPr>
          <w:rFonts w:hint="default" w:ascii="Times New Roman" w:hAnsi="Times New Roman" w:eastAsia="仿宋_GB2312" w:cs="Times New Roman"/>
          <w:color w:val="000000"/>
          <w:sz w:val="28"/>
        </w:rPr>
        <w:t>单位办公场所租金绩效目标表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保障办公场所稳定。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场地租赁数量</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场地租赁数量</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满足日常办公需要</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办公用房租赁</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租用时限</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租用时限</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租金成本</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租金成本</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2"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满足单位职工日常办公</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为单位职工日常提供稳定场所</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可持续提供稳定场所</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可持续长期提供稳定场所</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单位职工满意度</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单位职工满意度</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≥95比率</w:t>
            </w:r>
          </w:p>
        </w:tc>
        <w:tc>
          <w:tcPr>
            <w:tcW w:w="2155" w:type="dxa"/>
            <w:shd w:val="clear" w:color="auto" w:fill="auto"/>
            <w:vAlign w:val="center"/>
          </w:tcPr>
          <w:p>
            <w:pPr>
              <w:pStyle w:val="18"/>
              <w:rPr>
                <w:rFonts w:hint="eastAsia" w:ascii="仿宋_GB2312" w:hAnsi="仿宋_GB2312" w:eastAsia="仿宋_GB2312" w:cs="仿宋_GB2312"/>
                <w:sz w:val="24"/>
                <w:szCs w:val="24"/>
              </w:rPr>
            </w:pP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jc w:val="left"/>
        <w:rPr>
          <w:rFonts w:ascii="Times New Roman" w:hAnsi="黑体" w:eastAsia="黑体" w:cs="Times New Roman"/>
          <w:color w:val="FF0000"/>
          <w:sz w:val="44"/>
          <w:szCs w:val="44"/>
        </w:rPr>
      </w:pPr>
    </w:p>
    <w:p>
      <w:pPr>
        <w:autoSpaceDE w:val="0"/>
        <w:autoSpaceDN w:val="0"/>
        <w:adjustRightInd w:val="0"/>
        <w:spacing w:line="584" w:lineRule="exact"/>
        <w:jc w:val="left"/>
        <w:rPr>
          <w:rFonts w:ascii="Times New Roman" w:hAnsi="黑体" w:eastAsia="黑体" w:cs="Times New Roman"/>
          <w:color w:val="FF0000"/>
          <w:sz w:val="44"/>
          <w:szCs w:val="44"/>
        </w:rPr>
      </w:pPr>
    </w:p>
    <w:p>
      <w:pPr>
        <w:spacing w:before="0" w:after="0"/>
        <w:ind w:firstLine="560"/>
        <w:jc w:val="left"/>
        <w:outlineLvl w:val="3"/>
        <w:rPr>
          <w:rFonts w:hint="default"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hint="default" w:ascii="Times New Roman" w:hAnsi="Times New Roman" w:eastAsia="仿宋_GB2312" w:cs="Times New Roman"/>
          <w:sz w:val="28"/>
        </w:rPr>
        <w:t>.机构编制监督检查和事业单位法人登记工作经费绩效目标表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w:t>
            </w:r>
            <w:r>
              <w:rPr>
                <w:rFonts w:hint="default" w:ascii="Times New Roman" w:hAnsi="Times New Roman" w:eastAsia="仿宋_GB2312" w:cs="Times New Roman"/>
                <w:sz w:val="28"/>
              </w:rPr>
              <w:t>机构编制监督检查和事业单位法人登记工作</w:t>
            </w:r>
            <w:r>
              <w:rPr>
                <w:rFonts w:hint="eastAsia" w:ascii="Times New Roman" w:hAnsi="Times New Roman" w:eastAsia="仿宋_GB2312" w:cs="Times New Roman"/>
                <w:sz w:val="28"/>
                <w:lang w:eastAsia="zh-CN"/>
              </w:rP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年检工作数量</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开展年检工作数量</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≥178家</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事业单位名称统计；年检通知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“双随机、一公开”检查比例</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100百分比</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年检通过率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年检合格率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“双随机、一公开”监管工作合格率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“双随机、一公开”监管工作合格率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完成时间</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年检报告完成时间</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≤3月份</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完成时间</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≤12月份</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预算控制数</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项目预算控制数</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≤4万元</w:t>
            </w:r>
          </w:p>
        </w:tc>
        <w:tc>
          <w:tcPr>
            <w:tcW w:w="2155" w:type="dxa"/>
            <w:shd w:val="clear" w:color="auto" w:fill="auto"/>
            <w:vAlign w:val="center"/>
          </w:tcPr>
          <w:p>
            <w:pPr>
              <w:pStyle w:val="18"/>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通过及时年检，印发合格标记，保护事业单位的合法权益</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保护事业单位合法权益</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事业单位登记管理</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推动党政机关精简机构和科学管理</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事业单位满意度</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事业单位对年检工作的满意度</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满意度调查问卷</w:t>
            </w:r>
          </w:p>
        </w:tc>
      </w:tr>
    </w:tbl>
    <w:p>
      <w:pPr>
        <w:spacing w:before="0" w:after="0"/>
        <w:ind w:firstLine="560"/>
        <w:jc w:val="left"/>
        <w:outlineLvl w:val="3"/>
        <w:rPr>
          <w:rFonts w:hint="default" w:ascii="Times New Roman" w:hAnsi="Times New Roman" w:eastAsia="仿宋_GB2312" w:cs="Times New Roman"/>
          <w:color w:val="000000"/>
          <w:sz w:val="28"/>
        </w:rPr>
      </w:pPr>
      <w:r>
        <w:rPr>
          <w:rFonts w:hint="eastAsia" w:ascii="Times New Roman" w:hAnsi="Times New Roman" w:eastAsia="仿宋_GB2312" w:cs="Times New Roman"/>
          <w:sz w:val="28"/>
          <w:lang w:val="en-US" w:eastAsia="zh-CN"/>
        </w:rPr>
        <w:t>4</w:t>
      </w:r>
      <w:r>
        <w:rPr>
          <w:rFonts w:hint="default" w:ascii="Times New Roman" w:hAnsi="Times New Roman" w:eastAsia="仿宋_GB2312" w:cs="Times New Roman"/>
          <w:sz w:val="28"/>
        </w:rPr>
        <w:t>.</w:t>
      </w:r>
      <w:r>
        <w:rPr>
          <w:rFonts w:hint="default" w:ascii="Times New Roman" w:hAnsi="Times New Roman" w:eastAsia="仿宋_GB2312" w:cs="Times New Roman"/>
          <w:color w:val="000000"/>
          <w:sz w:val="28"/>
        </w:rPr>
        <w:t>机构编制系统等网络维护工作经费绩效目标表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保障日常办公设备和网络正常运行。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检查维护次数</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检查维护次数</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≥120次</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更换零配件工作</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更换零配件工作</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≥16台</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按月完成维护频次，出现异常，及时维修</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按月完成维护频次，出现异常，及时维修</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12月份</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检修、维修成本</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检修、维修成本</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≤3.65万元</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设备的正常运转率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设备的正常运转率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保障设备的正常使用寿命</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电脑设备等的正常使用1年</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单位内部人员满意度</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单位内部人员满意度</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r>
    </w:tbl>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5.中文域名网站运行费绩效目标表</w:t>
      </w:r>
    </w:p>
    <w:p>
      <w:pPr>
        <w:spacing w:before="0" w:after="0"/>
        <w:ind w:firstLine="560"/>
        <w:jc w:val="left"/>
        <w:outlineLvl w:val="3"/>
        <w:rPr>
          <w:rFonts w:hint="default"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796"/>
        <w:gridCol w:w="1535"/>
        <w:gridCol w:w="3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保障全县党政机关和事业单位中文域名网站正常运行。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79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3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06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数量指标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域名续费工作</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开展域名续费工作</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≥500家</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质量指标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及时完成续费工作</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及时续费完成率</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100百分比</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时效指标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6月前完成约500家网站续费工作</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续费完成时间</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6月份</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成本指标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单位控制成本200元，总成本控制在1万元内</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项目预算控制数</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≤200元</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生态效益指标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域名管理</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规范域名管理，保障机关事业单位的网站的正常运行</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100百分比</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可持续影响指标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提高网站的规范性</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系统正常使用年限</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1年</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服务对象满意度指标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机关事业单位工作人员满意度</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机关事业单位工作人员对域名工作满意度</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≥95百分比</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满意度调查问卷</w:t>
            </w:r>
          </w:p>
        </w:tc>
      </w:tr>
    </w:tbl>
    <w:p>
      <w:pPr>
        <w:spacing w:before="0" w:after="0"/>
        <w:ind w:firstLine="560"/>
        <w:jc w:val="left"/>
        <w:outlineLvl w:val="3"/>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6</w:t>
      </w:r>
      <w:r>
        <w:rPr>
          <w:rFonts w:hint="default" w:ascii="Times New Roman" w:hAnsi="Times New Roman" w:eastAsia="仿宋_GB2312" w:cs="Times New Roman"/>
          <w:sz w:val="28"/>
          <w:lang w:val="en-US" w:eastAsia="zh-CN"/>
        </w:rPr>
        <w:t>.</w:t>
      </w:r>
      <w:r>
        <w:rPr>
          <w:rFonts w:hint="eastAsia" w:ascii="Times New Roman" w:hAnsi="Times New Roman" w:eastAsia="仿宋_GB2312" w:cs="Times New Roman"/>
          <w:sz w:val="28"/>
          <w:lang w:val="en-US" w:eastAsia="zh-CN"/>
        </w:rPr>
        <w:t>县、镇机构改革、机构调整、职能调整工作经费绩效目标表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1447"/>
        <w:gridCol w:w="2523"/>
        <w:gridCol w:w="3159"/>
        <w:gridCol w:w="1377"/>
        <w:gridCol w:w="3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998"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w:t>
            </w:r>
            <w:r>
              <w:rPr>
                <w:rFonts w:hint="eastAsia" w:ascii="Times New Roman" w:hAnsi="Times New Roman" w:eastAsia="仿宋_GB2312" w:cs="Times New Roman"/>
                <w:sz w:val="28"/>
                <w:lang w:val="en-US" w:eastAsia="zh-CN"/>
              </w:rPr>
              <w:t>县、镇机构改革、机构调整、职能调整工作正常开展</w:t>
            </w:r>
            <w:r>
              <w:rPr>
                <w:rFonts w:hint="eastAsia" w:ascii="仿宋_GB2312" w:hAnsi="仿宋_GB2312" w:eastAsia="仿宋_GB2312" w:cs="仿宋_GB2312"/>
                <w:kern w:val="0"/>
                <w:sz w:val="24"/>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44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52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1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3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49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数量指标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月报工作，机构改革、调整文件</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开展月报工作；涉及机构改革、调整时，及时印发文件</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12次</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质量指标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完成情况</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准确、及时、全面印发，优化统筹各类编制资源配置的情况</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100比率</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时效指标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完成时间</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准确、及时、全面印发，优化统筹各类编制资源配置的情况</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≤12月份</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成本指标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预算控制数</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严格控制成本，项目预算控制数</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≤21.4万元</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经济效益指标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统计实名制人员情况，通过信息管理平台建设，进一步优化统筹各类编制资源配置</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优化统筹各类编制资源配置，加强和完善信息管理平台建设</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1年</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社会效益指标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印发机构改革、调整文件</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进一步发挥编办职能，优化统筹各类编制资源配置</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1年</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服务对象满意度指标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机关事业单位的满意度</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机关事业单位的满意度</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≥95</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满意度调查问卷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spacing w:line="584" w:lineRule="exact"/>
        <w:outlineLvl w:val="1"/>
        <w:rPr>
          <w:rFonts w:ascii="方正小标宋_GBK" w:eastAsia="方正小标宋_GBK" w:cs="Times New Roman"/>
          <w:sz w:val="32"/>
        </w:rPr>
      </w:pPr>
      <w:r>
        <w:rPr>
          <w:rFonts w:hint="eastAsia" w:ascii="Times New Roman" w:hAnsi="Times New Roman" w:eastAsia="仿宋_GB2312" w:cs="Times New Roman"/>
          <w:sz w:val="32"/>
          <w:szCs w:val="24"/>
          <w:lang w:eastAsia="zh-CN"/>
        </w:rPr>
        <w:t>中共</w:t>
      </w:r>
      <w:r>
        <w:rPr>
          <w:rFonts w:hint="eastAsia" w:ascii="Times New Roman" w:hAnsi="Times New Roman" w:eastAsia="仿宋_GB2312" w:cs="Times New Roman"/>
          <w:sz w:val="32"/>
          <w:szCs w:val="24"/>
        </w:rPr>
        <w:t>香河县</w:t>
      </w:r>
      <w:r>
        <w:rPr>
          <w:rFonts w:hint="eastAsia" w:ascii="Times New Roman" w:hAnsi="Times New Roman" w:eastAsia="仿宋_GB2312" w:cs="Times New Roman"/>
          <w:sz w:val="32"/>
          <w:szCs w:val="24"/>
          <w:lang w:eastAsia="zh-CN"/>
        </w:rPr>
        <w:t>委机构编制委员会办公室</w:t>
      </w:r>
      <w:r>
        <w:rPr>
          <w:rFonts w:ascii="Times New Roman" w:hAnsi="Times New Roman" w:eastAsia="仿宋_GB2312" w:cs="Times New Roman"/>
          <w:sz w:val="32"/>
          <w:szCs w:val="24"/>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spacing w:line="584" w:lineRule="exact"/>
            </w:pPr>
            <w:r>
              <w:t>政府采购项目来源</w:t>
            </w:r>
          </w:p>
        </w:tc>
        <w:tc>
          <w:tcPr>
            <w:tcW w:w="1134" w:type="dxa"/>
            <w:vMerge w:val="restart"/>
            <w:vAlign w:val="center"/>
          </w:tcPr>
          <w:p>
            <w:pPr>
              <w:pStyle w:val="16"/>
              <w:spacing w:line="584" w:lineRule="exact"/>
            </w:pPr>
            <w:r>
              <w:t>采购物品名称</w:t>
            </w:r>
          </w:p>
        </w:tc>
        <w:tc>
          <w:tcPr>
            <w:tcW w:w="1134" w:type="dxa"/>
            <w:vMerge w:val="restart"/>
            <w:vAlign w:val="center"/>
          </w:tcPr>
          <w:p>
            <w:pPr>
              <w:pStyle w:val="16"/>
              <w:spacing w:line="584" w:lineRule="exact"/>
            </w:pPr>
            <w:r>
              <w:t>政府采购目录序号</w:t>
            </w:r>
          </w:p>
        </w:tc>
        <w:tc>
          <w:tcPr>
            <w:tcW w:w="709" w:type="dxa"/>
            <w:vMerge w:val="restart"/>
            <w:vAlign w:val="center"/>
          </w:tcPr>
          <w:p>
            <w:pPr>
              <w:pStyle w:val="16"/>
              <w:spacing w:line="584" w:lineRule="exact"/>
            </w:pPr>
            <w:r>
              <w:t>计量  单位</w:t>
            </w:r>
          </w:p>
        </w:tc>
        <w:tc>
          <w:tcPr>
            <w:tcW w:w="850" w:type="dxa"/>
            <w:vMerge w:val="restart"/>
            <w:vAlign w:val="center"/>
          </w:tcPr>
          <w:p>
            <w:pPr>
              <w:pStyle w:val="16"/>
              <w:spacing w:line="584" w:lineRule="exact"/>
            </w:pPr>
            <w:r>
              <w:t>数量</w:t>
            </w:r>
          </w:p>
        </w:tc>
        <w:tc>
          <w:tcPr>
            <w:tcW w:w="850" w:type="dxa"/>
            <w:vMerge w:val="restart"/>
            <w:vAlign w:val="center"/>
          </w:tcPr>
          <w:p>
            <w:pPr>
              <w:pStyle w:val="16"/>
              <w:spacing w:line="584" w:lineRule="exact"/>
            </w:pPr>
            <w:r>
              <w:t>单价</w:t>
            </w:r>
          </w:p>
        </w:tc>
        <w:tc>
          <w:tcPr>
            <w:tcW w:w="7712" w:type="dxa"/>
            <w:gridSpan w:val="8"/>
            <w:vAlign w:val="center"/>
          </w:tcPr>
          <w:p>
            <w:pPr>
              <w:pStyle w:val="16"/>
              <w:spacing w:line="584" w:lineRule="exact"/>
            </w:pPr>
            <w:r>
              <w:t>政府采购金额（当年</w:t>
            </w:r>
            <w:r>
              <w:rPr>
                <w:rFonts w:hint="eastAsia"/>
                <w:lang w:eastAsia="zh-CN"/>
              </w:rPr>
              <w:t>单位</w:t>
            </w:r>
            <w:r>
              <w:t>预算安排资金）</w:t>
            </w:r>
          </w:p>
        </w:tc>
        <w:tc>
          <w:tcPr>
            <w:tcW w:w="964" w:type="dxa"/>
            <w:vMerge w:val="restart"/>
            <w:vAlign w:val="center"/>
          </w:tcPr>
          <w:p>
            <w:pPr>
              <w:pStyle w:val="16"/>
              <w:spacing w:line="584" w:lineRule="exact"/>
            </w:pPr>
            <w:r>
              <w:t>202</w:t>
            </w:r>
            <w:r>
              <w:rPr>
                <w:rFonts w:hint="eastAsia" w:eastAsiaTheme="minor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spacing w:line="584" w:lineRule="exact"/>
            </w:pPr>
            <w:r>
              <w:t>项目名称</w:t>
            </w:r>
          </w:p>
        </w:tc>
        <w:tc>
          <w:tcPr>
            <w:tcW w:w="964" w:type="dxa"/>
            <w:vAlign w:val="center"/>
          </w:tcPr>
          <w:p>
            <w:pPr>
              <w:pStyle w:val="16"/>
              <w:spacing w:line="584" w:lineRule="exact"/>
            </w:pPr>
            <w:r>
              <w:t>预算    资金</w:t>
            </w:r>
          </w:p>
        </w:tc>
        <w:tc>
          <w:tcPr>
            <w:tcW w:w="1134" w:type="dxa"/>
            <w:vMerge w:val="continue"/>
          </w:tcPr>
          <w:p>
            <w:pPr>
              <w:spacing w:line="584" w:lineRule="exact"/>
            </w:pPr>
          </w:p>
        </w:tc>
        <w:tc>
          <w:tcPr>
            <w:tcW w:w="1134" w:type="dxa"/>
            <w:vMerge w:val="continue"/>
          </w:tcPr>
          <w:p>
            <w:pPr>
              <w:spacing w:line="584" w:lineRule="exact"/>
            </w:pPr>
          </w:p>
        </w:tc>
        <w:tc>
          <w:tcPr>
            <w:tcW w:w="709" w:type="dxa"/>
            <w:vMerge w:val="continue"/>
          </w:tcPr>
          <w:p>
            <w:pPr>
              <w:spacing w:line="584" w:lineRule="exact"/>
            </w:pPr>
          </w:p>
        </w:tc>
        <w:tc>
          <w:tcPr>
            <w:tcW w:w="850" w:type="dxa"/>
            <w:vMerge w:val="continue"/>
          </w:tcPr>
          <w:p>
            <w:pPr>
              <w:spacing w:line="584" w:lineRule="exact"/>
            </w:pPr>
          </w:p>
        </w:tc>
        <w:tc>
          <w:tcPr>
            <w:tcW w:w="850" w:type="dxa"/>
            <w:vMerge w:val="continue"/>
          </w:tcPr>
          <w:p>
            <w:pPr>
              <w:spacing w:line="584" w:lineRule="exact"/>
            </w:pPr>
          </w:p>
        </w:tc>
        <w:tc>
          <w:tcPr>
            <w:tcW w:w="964" w:type="dxa"/>
            <w:vAlign w:val="center"/>
          </w:tcPr>
          <w:p>
            <w:pPr>
              <w:pStyle w:val="16"/>
              <w:spacing w:line="584" w:lineRule="exact"/>
            </w:pPr>
            <w:r>
              <w:t>合计</w:t>
            </w:r>
          </w:p>
        </w:tc>
        <w:tc>
          <w:tcPr>
            <w:tcW w:w="964" w:type="dxa"/>
            <w:vAlign w:val="center"/>
          </w:tcPr>
          <w:p>
            <w:pPr>
              <w:pStyle w:val="16"/>
              <w:spacing w:line="584" w:lineRule="exact"/>
            </w:pPr>
            <w:r>
              <w:t>一般公共预算拨款</w:t>
            </w:r>
          </w:p>
        </w:tc>
        <w:tc>
          <w:tcPr>
            <w:tcW w:w="964" w:type="dxa"/>
            <w:vAlign w:val="center"/>
          </w:tcPr>
          <w:p>
            <w:pPr>
              <w:pStyle w:val="16"/>
              <w:spacing w:line="584" w:lineRule="exact"/>
            </w:pPr>
            <w:r>
              <w:t>基金预算拨款</w:t>
            </w:r>
          </w:p>
        </w:tc>
        <w:tc>
          <w:tcPr>
            <w:tcW w:w="964" w:type="dxa"/>
            <w:vAlign w:val="center"/>
          </w:tcPr>
          <w:p>
            <w:pPr>
              <w:pStyle w:val="16"/>
              <w:spacing w:line="584" w:lineRule="exact"/>
            </w:pPr>
            <w:r>
              <w:t>国有资本经营预算拨款</w:t>
            </w:r>
          </w:p>
        </w:tc>
        <w:tc>
          <w:tcPr>
            <w:tcW w:w="964" w:type="dxa"/>
            <w:vAlign w:val="center"/>
          </w:tcPr>
          <w:p>
            <w:pPr>
              <w:pStyle w:val="16"/>
              <w:spacing w:line="584" w:lineRule="exact"/>
            </w:pPr>
            <w:r>
              <w:t>财政专户核拨</w:t>
            </w:r>
          </w:p>
        </w:tc>
        <w:tc>
          <w:tcPr>
            <w:tcW w:w="964" w:type="dxa"/>
            <w:vAlign w:val="center"/>
          </w:tcPr>
          <w:p>
            <w:pPr>
              <w:pStyle w:val="16"/>
              <w:spacing w:line="584" w:lineRule="exact"/>
            </w:pPr>
            <w:r>
              <w:t>单位    资金</w:t>
            </w:r>
          </w:p>
        </w:tc>
        <w:tc>
          <w:tcPr>
            <w:tcW w:w="964" w:type="dxa"/>
            <w:vAlign w:val="center"/>
          </w:tcPr>
          <w:p>
            <w:pPr>
              <w:pStyle w:val="16"/>
              <w:spacing w:line="584" w:lineRule="exact"/>
            </w:pPr>
            <w:r>
              <w:t>财政拨    款结转</w:t>
            </w:r>
          </w:p>
        </w:tc>
        <w:tc>
          <w:tcPr>
            <w:tcW w:w="964" w:type="dxa"/>
            <w:vAlign w:val="center"/>
          </w:tcPr>
          <w:p>
            <w:pPr>
              <w:pStyle w:val="16"/>
              <w:spacing w:line="584" w:lineRule="exact"/>
            </w:pPr>
            <w:r>
              <w:t>非财政    拨款结    转结余</w:t>
            </w:r>
          </w:p>
        </w:tc>
        <w:tc>
          <w:tcPr>
            <w:tcW w:w="964" w:type="dxa"/>
            <w:vMerge w:val="continue"/>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584" w:lineRule="exact"/>
            </w:pPr>
            <w:r>
              <w:t>合  计</w:t>
            </w:r>
          </w:p>
        </w:tc>
        <w:tc>
          <w:tcPr>
            <w:tcW w:w="964" w:type="dxa"/>
            <w:vAlign w:val="center"/>
          </w:tcPr>
          <w:p>
            <w:pPr>
              <w:pStyle w:val="21"/>
              <w:spacing w:line="584" w:lineRule="exact"/>
              <w:rPr>
                <w:rFonts w:hint="eastAsia" w:eastAsia="方正书宋_GBK"/>
                <w:lang w:val="en-US" w:eastAsia="zh-CN"/>
              </w:rPr>
            </w:pPr>
            <w:r>
              <w:rPr>
                <w:rFonts w:hint="eastAsia"/>
                <w:lang w:val="en-US" w:eastAsia="zh-CN"/>
              </w:rPr>
              <w:t>0</w:t>
            </w:r>
          </w:p>
        </w:tc>
        <w:tc>
          <w:tcPr>
            <w:tcW w:w="1134" w:type="dxa"/>
            <w:vAlign w:val="center"/>
          </w:tcPr>
          <w:p>
            <w:pPr>
              <w:pStyle w:val="22"/>
              <w:spacing w:line="584" w:lineRule="exact"/>
            </w:pPr>
          </w:p>
        </w:tc>
        <w:tc>
          <w:tcPr>
            <w:tcW w:w="1134" w:type="dxa"/>
            <w:vAlign w:val="center"/>
          </w:tcPr>
          <w:p>
            <w:pPr>
              <w:pStyle w:val="22"/>
              <w:spacing w:line="584" w:lineRule="exact"/>
            </w:pPr>
          </w:p>
        </w:tc>
        <w:tc>
          <w:tcPr>
            <w:tcW w:w="709" w:type="dxa"/>
            <w:vAlign w:val="center"/>
          </w:tcPr>
          <w:p>
            <w:pPr>
              <w:pStyle w:val="20"/>
              <w:spacing w:line="584" w:lineRule="exact"/>
            </w:pPr>
          </w:p>
        </w:tc>
        <w:tc>
          <w:tcPr>
            <w:tcW w:w="850" w:type="dxa"/>
            <w:vAlign w:val="center"/>
          </w:tcPr>
          <w:p>
            <w:pPr>
              <w:pStyle w:val="21"/>
              <w:spacing w:line="584" w:lineRule="exact"/>
            </w:pPr>
          </w:p>
        </w:tc>
        <w:tc>
          <w:tcPr>
            <w:tcW w:w="850"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584" w:lineRule="exact"/>
            </w:pPr>
          </w:p>
        </w:tc>
        <w:tc>
          <w:tcPr>
            <w:tcW w:w="964" w:type="dxa"/>
            <w:vAlign w:val="center"/>
          </w:tcPr>
          <w:p>
            <w:pPr>
              <w:pStyle w:val="21"/>
              <w:spacing w:line="584" w:lineRule="exact"/>
            </w:pPr>
          </w:p>
        </w:tc>
        <w:tc>
          <w:tcPr>
            <w:tcW w:w="1134" w:type="dxa"/>
            <w:vAlign w:val="center"/>
          </w:tcPr>
          <w:p>
            <w:pPr>
              <w:pStyle w:val="22"/>
              <w:spacing w:line="584" w:lineRule="exact"/>
            </w:pPr>
          </w:p>
        </w:tc>
        <w:tc>
          <w:tcPr>
            <w:tcW w:w="1134" w:type="dxa"/>
            <w:vAlign w:val="center"/>
          </w:tcPr>
          <w:p>
            <w:pPr>
              <w:pStyle w:val="22"/>
              <w:spacing w:line="584" w:lineRule="exact"/>
            </w:pPr>
          </w:p>
        </w:tc>
        <w:tc>
          <w:tcPr>
            <w:tcW w:w="709" w:type="dxa"/>
            <w:vAlign w:val="center"/>
          </w:tcPr>
          <w:p>
            <w:pPr>
              <w:pStyle w:val="20"/>
              <w:spacing w:line="584" w:lineRule="exact"/>
            </w:pPr>
          </w:p>
        </w:tc>
        <w:tc>
          <w:tcPr>
            <w:tcW w:w="850" w:type="dxa"/>
            <w:vAlign w:val="center"/>
          </w:tcPr>
          <w:p>
            <w:pPr>
              <w:pStyle w:val="21"/>
              <w:spacing w:line="584" w:lineRule="exact"/>
            </w:pPr>
          </w:p>
        </w:tc>
        <w:tc>
          <w:tcPr>
            <w:tcW w:w="850"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spacing w:line="584" w:lineRule="exact"/>
            </w:pPr>
          </w:p>
        </w:tc>
        <w:tc>
          <w:tcPr>
            <w:tcW w:w="964" w:type="dxa"/>
            <w:vAlign w:val="center"/>
          </w:tcPr>
          <w:p>
            <w:pPr>
              <w:pStyle w:val="17"/>
              <w:spacing w:line="584" w:lineRule="exact"/>
            </w:pPr>
          </w:p>
        </w:tc>
        <w:tc>
          <w:tcPr>
            <w:tcW w:w="1134" w:type="dxa"/>
            <w:vAlign w:val="center"/>
          </w:tcPr>
          <w:p>
            <w:pPr>
              <w:pStyle w:val="18"/>
              <w:spacing w:line="584" w:lineRule="exact"/>
            </w:pPr>
          </w:p>
        </w:tc>
        <w:tc>
          <w:tcPr>
            <w:tcW w:w="1134" w:type="dxa"/>
            <w:vAlign w:val="center"/>
          </w:tcPr>
          <w:p>
            <w:pPr>
              <w:pStyle w:val="18"/>
              <w:spacing w:line="584" w:lineRule="exact"/>
            </w:pPr>
          </w:p>
        </w:tc>
        <w:tc>
          <w:tcPr>
            <w:tcW w:w="709" w:type="dxa"/>
            <w:vAlign w:val="center"/>
          </w:tcPr>
          <w:p>
            <w:pPr>
              <w:pStyle w:val="19"/>
              <w:spacing w:line="584" w:lineRule="exact"/>
            </w:pPr>
          </w:p>
        </w:tc>
        <w:tc>
          <w:tcPr>
            <w:tcW w:w="850" w:type="dxa"/>
            <w:vAlign w:val="center"/>
          </w:tcPr>
          <w:p>
            <w:pPr>
              <w:pStyle w:val="17"/>
              <w:spacing w:line="584" w:lineRule="exact"/>
            </w:pPr>
          </w:p>
        </w:tc>
        <w:tc>
          <w:tcPr>
            <w:tcW w:w="850"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24"/>
          <w:lang w:eastAsia="zh-CN"/>
        </w:rPr>
        <w:t>中共</w:t>
      </w:r>
      <w:r>
        <w:rPr>
          <w:rFonts w:hint="eastAsia" w:ascii="Times New Roman" w:hAnsi="Times New Roman" w:eastAsia="仿宋_GB2312" w:cs="Times New Roman"/>
          <w:sz w:val="32"/>
          <w:szCs w:val="24"/>
        </w:rPr>
        <w:t>香河县</w:t>
      </w:r>
      <w:r>
        <w:rPr>
          <w:rFonts w:hint="eastAsia" w:ascii="Times New Roman" w:hAnsi="Times New Roman" w:eastAsia="仿宋_GB2312" w:cs="Times New Roman"/>
          <w:sz w:val="32"/>
          <w:szCs w:val="24"/>
          <w:lang w:eastAsia="zh-CN"/>
        </w:rPr>
        <w:t>委机构编制委员会办公室</w:t>
      </w:r>
      <w:r>
        <w:rPr>
          <w:rFonts w:ascii="Times New Roman" w:hAnsi="Times New Roman" w:eastAsia="仿宋_GB2312" w:cs="Times New Roman"/>
          <w:sz w:val="32"/>
          <w:szCs w:val="24"/>
        </w:rPr>
        <w:t xml:space="preserve"> </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71.8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主要为计算机设备、打印设备、办公家具等，已列入政府采购预算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香河县</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color w:val="FF0000"/>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eastAsia="zh-CN"/>
              </w:rPr>
              <w:t>中共</w:t>
            </w:r>
            <w:r>
              <w:rPr>
                <w:rFonts w:hint="eastAsia" w:ascii="Times New Roman" w:hAnsi="Times New Roman" w:eastAsia="仿宋_GB2312" w:cs="Times New Roman"/>
                <w:kern w:val="0"/>
                <w:sz w:val="22"/>
              </w:rPr>
              <w:t>香河县</w:t>
            </w:r>
            <w:r>
              <w:rPr>
                <w:rFonts w:hint="eastAsia" w:ascii="Times New Roman" w:hAnsi="Times New Roman" w:eastAsia="仿宋_GB2312" w:cs="Times New Roman"/>
                <w:kern w:val="0"/>
                <w:sz w:val="22"/>
                <w:lang w:eastAsia="zh-CN"/>
              </w:rPr>
              <w:t>委机构编制委员会办公室</w:t>
            </w:r>
            <w:r>
              <w:rPr>
                <w:rFonts w:ascii="Times New Roman" w:hAnsi="Times New Roman" w:eastAsia="仿宋_GB2312" w:cs="Times New Roman"/>
                <w:kern w:val="0"/>
                <w:sz w:val="22"/>
              </w:rPr>
              <w:t xml:space="preserve">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24.78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47.02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rPr>
        <w:t>县级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p>
      <w:pPr>
        <w:spacing w:line="584" w:lineRule="exact"/>
        <w:ind w:firstLine="880" w:firstLineChars="200"/>
        <w:jc w:val="center"/>
        <w:rPr>
          <w:rFonts w:ascii="Times New Roman" w:hAnsi="Times New Roman" w:eastAsia="仿宋_GB2312" w:cs="Times New Roman"/>
          <w:sz w:val="44"/>
          <w:szCs w:val="44"/>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05DD8"/>
    <w:rsid w:val="00006978"/>
    <w:rsid w:val="00007292"/>
    <w:rsid w:val="00007A31"/>
    <w:rsid w:val="0002784C"/>
    <w:rsid w:val="00031477"/>
    <w:rsid w:val="0003697D"/>
    <w:rsid w:val="00037AF6"/>
    <w:rsid w:val="0004565F"/>
    <w:rsid w:val="00072187"/>
    <w:rsid w:val="00075D5F"/>
    <w:rsid w:val="0008180F"/>
    <w:rsid w:val="00082B29"/>
    <w:rsid w:val="00093DA3"/>
    <w:rsid w:val="000B10A8"/>
    <w:rsid w:val="000B21FD"/>
    <w:rsid w:val="000B529B"/>
    <w:rsid w:val="000C095F"/>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2359"/>
    <w:rsid w:val="00183D1E"/>
    <w:rsid w:val="001919C4"/>
    <w:rsid w:val="0019331A"/>
    <w:rsid w:val="0019412A"/>
    <w:rsid w:val="0019723B"/>
    <w:rsid w:val="001A0943"/>
    <w:rsid w:val="001A3D44"/>
    <w:rsid w:val="001B3DEB"/>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459A"/>
    <w:rsid w:val="00265318"/>
    <w:rsid w:val="00277452"/>
    <w:rsid w:val="002835D7"/>
    <w:rsid w:val="00290B45"/>
    <w:rsid w:val="00290FD6"/>
    <w:rsid w:val="0029588E"/>
    <w:rsid w:val="00296113"/>
    <w:rsid w:val="002A673A"/>
    <w:rsid w:val="002C29A3"/>
    <w:rsid w:val="002C4BA9"/>
    <w:rsid w:val="002C5E13"/>
    <w:rsid w:val="002C62BC"/>
    <w:rsid w:val="002E0EB8"/>
    <w:rsid w:val="002F3A53"/>
    <w:rsid w:val="002F3E58"/>
    <w:rsid w:val="0030542C"/>
    <w:rsid w:val="003075D4"/>
    <w:rsid w:val="00311B7A"/>
    <w:rsid w:val="003126B6"/>
    <w:rsid w:val="00313D9C"/>
    <w:rsid w:val="00314231"/>
    <w:rsid w:val="00325215"/>
    <w:rsid w:val="0033339C"/>
    <w:rsid w:val="00361949"/>
    <w:rsid w:val="0036386B"/>
    <w:rsid w:val="00371FDA"/>
    <w:rsid w:val="0039520A"/>
    <w:rsid w:val="003A04FB"/>
    <w:rsid w:val="003B6D37"/>
    <w:rsid w:val="003D2E03"/>
    <w:rsid w:val="003D5DCE"/>
    <w:rsid w:val="004041B3"/>
    <w:rsid w:val="00411F57"/>
    <w:rsid w:val="00415C0E"/>
    <w:rsid w:val="00424943"/>
    <w:rsid w:val="0042727E"/>
    <w:rsid w:val="0043175C"/>
    <w:rsid w:val="00437296"/>
    <w:rsid w:val="00444963"/>
    <w:rsid w:val="00451590"/>
    <w:rsid w:val="00451871"/>
    <w:rsid w:val="004706DE"/>
    <w:rsid w:val="00472923"/>
    <w:rsid w:val="00486DCD"/>
    <w:rsid w:val="0049120C"/>
    <w:rsid w:val="004B0C3A"/>
    <w:rsid w:val="004B12F3"/>
    <w:rsid w:val="004B45C1"/>
    <w:rsid w:val="004C49A8"/>
    <w:rsid w:val="004C717F"/>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351FB"/>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04BB"/>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4D62"/>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212"/>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9F75BF"/>
    <w:rsid w:val="00A16E6C"/>
    <w:rsid w:val="00A40F60"/>
    <w:rsid w:val="00A44E3D"/>
    <w:rsid w:val="00A45598"/>
    <w:rsid w:val="00A72D2E"/>
    <w:rsid w:val="00A736A7"/>
    <w:rsid w:val="00A74447"/>
    <w:rsid w:val="00A74CE5"/>
    <w:rsid w:val="00A77500"/>
    <w:rsid w:val="00A8536F"/>
    <w:rsid w:val="00A911E7"/>
    <w:rsid w:val="00A91AEE"/>
    <w:rsid w:val="00A92170"/>
    <w:rsid w:val="00A939D9"/>
    <w:rsid w:val="00AB77AA"/>
    <w:rsid w:val="00AC1794"/>
    <w:rsid w:val="00AC3370"/>
    <w:rsid w:val="00AC4748"/>
    <w:rsid w:val="00AD5259"/>
    <w:rsid w:val="00AE1A02"/>
    <w:rsid w:val="00B01D36"/>
    <w:rsid w:val="00B02FF0"/>
    <w:rsid w:val="00B061E8"/>
    <w:rsid w:val="00B078CD"/>
    <w:rsid w:val="00B20712"/>
    <w:rsid w:val="00B35627"/>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6591E"/>
    <w:rsid w:val="00C772C1"/>
    <w:rsid w:val="00C77976"/>
    <w:rsid w:val="00C9191E"/>
    <w:rsid w:val="00CA7176"/>
    <w:rsid w:val="00CB026F"/>
    <w:rsid w:val="00CC0FB3"/>
    <w:rsid w:val="00CC15C3"/>
    <w:rsid w:val="00CC75B0"/>
    <w:rsid w:val="00CD2773"/>
    <w:rsid w:val="00CD3C04"/>
    <w:rsid w:val="00CD52C7"/>
    <w:rsid w:val="00CE01BA"/>
    <w:rsid w:val="00CE143B"/>
    <w:rsid w:val="00CE3A91"/>
    <w:rsid w:val="00CF38DE"/>
    <w:rsid w:val="00D07DBA"/>
    <w:rsid w:val="00D23C16"/>
    <w:rsid w:val="00D24A4A"/>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369F6"/>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3CD3679"/>
    <w:rsid w:val="05800E2B"/>
    <w:rsid w:val="13FD7AAD"/>
    <w:rsid w:val="1C4649D3"/>
    <w:rsid w:val="1C60496D"/>
    <w:rsid w:val="1E486ADD"/>
    <w:rsid w:val="2169595E"/>
    <w:rsid w:val="235D069D"/>
    <w:rsid w:val="286831CA"/>
    <w:rsid w:val="29BC49B1"/>
    <w:rsid w:val="2EB431D1"/>
    <w:rsid w:val="2F79222B"/>
    <w:rsid w:val="2FBB74B0"/>
    <w:rsid w:val="4CFA44E1"/>
    <w:rsid w:val="5A6B22F7"/>
    <w:rsid w:val="64445787"/>
    <w:rsid w:val="659A5220"/>
    <w:rsid w:val="6BE9470C"/>
    <w:rsid w:val="6DBD13CA"/>
    <w:rsid w:val="724C1572"/>
    <w:rsid w:val="72BD45B3"/>
    <w:rsid w:val="74A82568"/>
    <w:rsid w:val="7851188D"/>
    <w:rsid w:val="7AF9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93B29-0B0B-45FC-96B1-4019345955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657</Words>
  <Characters>3746</Characters>
  <Lines>31</Lines>
  <Paragraphs>8</Paragraphs>
  <TotalTime>32</TotalTime>
  <ScaleCrop>false</ScaleCrop>
  <LinksUpToDate>false</LinksUpToDate>
  <CharactersWithSpaces>4395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2023-01-29T01:01:00Z</cp:lastPrinted>
  <dcterms:modified xsi:type="dcterms:W3CDTF">2023-08-16T02:37:39Z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E4C8CB0154164B1D93B0A84B8E34F891</vt:lpwstr>
  </property>
</Properties>
</file>