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jc w:val="both"/>
        <w:rPr>
          <w:rFonts w:ascii="Times New Roman" w:hAnsi="Times New Roman" w:eastAsia="方正小标宋简体" w:cs="Times New Roman"/>
          <w:sz w:val="44"/>
          <w:szCs w:val="44"/>
        </w:rPr>
      </w:pPr>
    </w:p>
    <w:p>
      <w:pPr>
        <w:spacing w:line="584" w:lineRule="exact"/>
        <w:ind w:firstLine="3960" w:firstLineChars="900"/>
        <w:jc w:val="both"/>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中共</w:t>
      </w:r>
      <w:r>
        <w:rPr>
          <w:rFonts w:ascii="Times New Roman" w:hAnsi="Times New Roman" w:eastAsia="方正小标宋简体" w:cs="Times New Roman"/>
          <w:sz w:val="44"/>
          <w:szCs w:val="44"/>
        </w:rPr>
        <w:t>香河县</w:t>
      </w:r>
      <w:r>
        <w:rPr>
          <w:rFonts w:hint="eastAsia" w:ascii="Times New Roman" w:hAnsi="Times New Roman" w:eastAsia="方正小标宋简体" w:cs="Times New Roman"/>
          <w:sz w:val="44"/>
          <w:szCs w:val="44"/>
          <w:lang w:eastAsia="zh-CN"/>
        </w:rPr>
        <w:t>委机构编制委员会办公室</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23</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eastAsia="zh-CN"/>
        </w:rPr>
        <w:t>中共</w:t>
      </w:r>
      <w:r>
        <w:rPr>
          <w:rFonts w:ascii="Times New Roman" w:hAnsi="Times New Roman" w:eastAsia="仿宋_GB2312" w:cs="Times New Roman"/>
          <w:sz w:val="32"/>
          <w:szCs w:val="32"/>
        </w:rPr>
        <w:t>香河县</w:t>
      </w:r>
      <w:r>
        <w:rPr>
          <w:rFonts w:hint="eastAsia" w:ascii="Times New Roman" w:hAnsi="Times New Roman" w:eastAsia="仿宋_GB2312" w:cs="Times New Roman"/>
          <w:sz w:val="32"/>
          <w:szCs w:val="32"/>
          <w:lang w:eastAsia="zh-CN"/>
        </w:rPr>
        <w:t>委机构编制委员会办公室</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落实党中央、省委、市委和县委关于行政管理体制和机构改革以及机构编制管理的政策法规，组织拟订相关政策规定和地方规范性文件并监督实施。管理和指导全县各级党委、人大、政府、政协、监察委机关，各民主党派、人民团体机关以及全县事业单位的机构编制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（二）组织拟订全县行政管理体制改革和县委、县政府机构改革方案并组织实施。指导全县行政管理体制和机构改革以及机构编制管理工作; 负责行政执法体制改革工作。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（三）协调县委、县政府各部门的职能配置及其调整。协调县委、县政府部门之间以及县直部门与镇之间的职责分工。</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核或审批县委、县政府各部门及各部门派出机构的职能配置、机构设置、人员编制和领导职数；审核县人大、县政协、县监察委和县级各民主党派、人民团体机关的职能配置、机构设置、人员编制和领导职数。</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核县、镇党委、政府机构设置和调整事宜；审核县人大、政协、监察委和各民主党派、人民团体机关机构设置和调整事宜；审核县、镇机构编制分类；负责需要承办的省市垂直管理部门或双重管理部门（单位）机构编制有关事宜。</w:t>
      </w:r>
    </w:p>
    <w:p>
      <w:pPr>
        <w:spacing w:line="60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拟订全县事业单位管理体制和机构改革方案。贯彻执行各类事业单位人员编制标准和管理办法，负责推进事业单位机构编制标准体系建设；审核或审批县委、县政府直属事业单位和部门所属事业单位的机构编制事宜。负责全县党政群机关统一社会信用代码赋码管理工作，负责全县事业单位法人登记管理和监督检查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（七）指导县开发区（园区）行政管理体制改革工作。贯彻落实省级以上开发区（园区）机构编制管理办法，审核省级以上开发区（园区）职能配置、机构设置、人员编制和领导职数。</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（八）负责全县机构编制的总量控制和动态管理。会同有关部门负责机构编制实名制工作；负责县直机关事业单位编制使用核准；建立健全机构编制部门与有关部门的协调配合约束机制。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（九）负责对各级行政、事业单位管理体制和机构改革及机构编制执行情况的跟踪评估和监督检查。负责受理违反机构编制法规、纪律的检举、控告和投诉，对违反机构编制法规、纪律问题进行调查处理。</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（十）负责全县机构编制电子政务和信息化工作。负责全县机构编制统计工作；负责机构编制网站的建设管理以及网络安全工作；指导全县党政群机关、事业单位和其他非营利性单位网上名称管理工作。</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（十一）组织开展行政体制改革及机构编制管理创新基础性和前瞻性研究。</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（十二）承办县委、县政府和县委机构编制委员会交办的其他任务。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sz w:val="32"/>
                <w:szCs w:val="32"/>
                <w:lang w:eastAsia="zh-CN"/>
              </w:rPr>
              <w:t>中共</w:t>
            </w:r>
            <w:r>
              <w:rPr>
                <w:rFonts w:ascii="Times New Roman" w:hAnsi="Times New Roman" w:eastAsia="仿宋_GB2312" w:cs="Times New Roman"/>
                <w:sz w:val="32"/>
                <w:szCs w:val="32"/>
              </w:rPr>
              <w:t>香河县</w:t>
            </w:r>
            <w:r>
              <w:rPr>
                <w:rFonts w:hint="eastAsia" w:ascii="Times New Roman" w:hAnsi="Times New Roman" w:eastAsia="仿宋_GB2312" w:cs="Times New Roman"/>
                <w:sz w:val="32"/>
                <w:szCs w:val="32"/>
                <w:lang w:eastAsia="zh-CN"/>
              </w:rPr>
              <w:t>委机构编制委员会办公室</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sz w:val="32"/>
                <w:szCs w:val="32"/>
                <w:lang w:val="en-US" w:eastAsia="zh-CN"/>
              </w:rPr>
              <w:t>行政单位</w:t>
            </w:r>
          </w:p>
        </w:tc>
        <w:tc>
          <w:tcPr>
            <w:tcW w:w="1276" w:type="dxa"/>
            <w:shd w:val="clear" w:color="auto" w:fill="auto"/>
            <w:vAlign w:val="center"/>
          </w:tcPr>
          <w:p>
            <w:pPr>
              <w:rPr>
                <w:rFonts w:ascii="Times New Roman" w:hAnsi="Times New Roman" w:eastAsia="仿宋_GB2312" w:cs="Times New Roman"/>
                <w:b/>
              </w:rPr>
            </w:pPr>
            <w:r>
              <w:rPr>
                <w:rFonts w:ascii="Times New Roman" w:hAnsi="Times New Roman" w:eastAsia="仿宋_GB2312" w:cs="Times New Roman"/>
                <w:sz w:val="32"/>
                <w:szCs w:val="32"/>
              </w:rPr>
              <w:t>正科级</w:t>
            </w:r>
          </w:p>
        </w:tc>
        <w:tc>
          <w:tcPr>
            <w:tcW w:w="2902" w:type="dxa"/>
            <w:shd w:val="clear" w:color="auto" w:fill="auto"/>
            <w:vAlign w:val="center"/>
          </w:tcPr>
          <w:p>
            <w:pPr>
              <w:ind w:firstLine="640" w:firstLineChars="200"/>
              <w:rPr>
                <w:rFonts w:ascii="Times New Roman" w:hAnsi="Times New Roman" w:eastAsia="仿宋_GB2312" w:cs="Times New Roman"/>
                <w:b/>
              </w:rPr>
            </w:pPr>
            <w:r>
              <w:rPr>
                <w:rFonts w:ascii="Times New Roman" w:hAnsi="Times New Roman" w:eastAsia="仿宋_GB2312" w:cs="Times New Roman"/>
                <w:sz w:val="32"/>
                <w:szCs w:val="32"/>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按照预算管理有关规定，目前我县部门预算的编制实行综合预算制度，即全部收入和支出都反映在预算中。</w:t>
      </w:r>
      <w:r>
        <w:rPr>
          <w:rFonts w:hint="eastAsia" w:ascii="Times New Roman" w:hAnsi="Times New Roman" w:eastAsia="仿宋_GB2312"/>
          <w:sz w:val="32"/>
          <w:szCs w:val="32"/>
        </w:rPr>
        <w:t>中共香河县委机构编制委员会办公</w:t>
      </w:r>
      <w:r>
        <w:rPr>
          <w:rFonts w:hint="eastAsia" w:ascii="Times New Roman" w:hAnsi="Times New Roman" w:eastAsia="仿宋_GB2312" w:cs="Times New Roman"/>
          <w:sz w:val="32"/>
          <w:szCs w:val="32"/>
        </w:rPr>
        <w:t>室</w:t>
      </w:r>
      <w:r>
        <w:rPr>
          <w:rFonts w:ascii="Times New Roman" w:hAnsi="Times New Roman" w:eastAsia="仿宋_GB2312" w:cs="Times New Roman"/>
          <w:sz w:val="32"/>
          <w:szCs w:val="32"/>
        </w:rPr>
        <w:t>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年预算收入608.02万元，其中：一般公共预算收入608.02万元，基金预算收入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（有则写，无则填0万元）。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Times New Roman" w:hAnsi="Times New Roman" w:eastAsia="仿宋_GB2312"/>
          <w:sz w:val="32"/>
          <w:szCs w:val="32"/>
        </w:rPr>
        <w:t>中共香河县委机构编制委员会办公</w:t>
      </w:r>
      <w:r>
        <w:rPr>
          <w:rFonts w:hint="eastAsia" w:ascii="Times New Roman" w:hAnsi="Times New Roman" w:eastAsia="仿宋_GB2312" w:cs="Times New Roman"/>
          <w:sz w:val="32"/>
          <w:szCs w:val="32"/>
        </w:rPr>
        <w:t>室</w:t>
      </w:r>
      <w:r>
        <w:rPr>
          <w:rFonts w:hint="eastAsia" w:ascii="Times New Roman" w:hAnsi="Times New Roman" w:eastAsia="仿宋_GB2312" w:cs="Times New Roman"/>
          <w:sz w:val="32"/>
          <w:szCs w:val="32"/>
          <w:lang w:val="en-US" w:eastAsia="zh-CN"/>
        </w:rPr>
        <w:t>2023</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年支出预算608.02万元，其中基本</w:t>
      </w:r>
      <w:r>
        <w:rPr>
          <w:rFonts w:hint="eastAsia" w:ascii="Times New Roman" w:hAnsi="Times New Roman" w:eastAsia="仿宋_GB2312" w:cs="Times New Roman"/>
          <w:sz w:val="32"/>
          <w:szCs w:val="32"/>
        </w:rPr>
        <w:t>支出374.87万元</w:t>
      </w:r>
      <w:r>
        <w:rPr>
          <w:rFonts w:ascii="Times New Roman" w:hAnsi="Times New Roman" w:eastAsia="仿宋_GB2312" w:cs="Times New Roman"/>
          <w:sz w:val="32"/>
          <w:szCs w:val="32"/>
        </w:rPr>
        <w:t>，包括人员类项目经费342.65万元和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公用项目经费32.22万元；运转类其他及特定目标类项目支出233.15万元，包括本级支出，主要为</w:t>
      </w:r>
      <w:r>
        <w:rPr>
          <w:rFonts w:ascii="Times New Roman" w:hAnsi="Times New Roman" w:eastAsia="仿宋_GB2312"/>
          <w:sz w:val="32"/>
          <w:szCs w:val="32"/>
        </w:rPr>
        <w:t>县、镇机构改革、机构调整、职能调整工作经费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机构编制监督检查和事业单位法人登记工作经费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机构编制系统等网络维护经费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中文域名网站开通经费</w:t>
      </w:r>
      <w:r>
        <w:rPr>
          <w:rFonts w:hint="eastAsia" w:ascii="Times New Roman" w:hAnsi="Times New Roman" w:eastAsia="仿宋_GB2312"/>
          <w:sz w:val="32"/>
          <w:szCs w:val="32"/>
          <w:lang w:eastAsia="zh-CN"/>
        </w:rPr>
        <w:t>、</w:t>
      </w:r>
      <w:r>
        <w:rPr>
          <w:rFonts w:ascii="Times New Roman" w:hAnsi="Times New Roman" w:eastAsia="仿宋_GB2312"/>
          <w:sz w:val="32"/>
          <w:szCs w:val="32"/>
        </w:rPr>
        <w:t>单位办公场所租金等支出</w:t>
      </w:r>
      <w:r>
        <w:rPr>
          <w:rFonts w:hint="eastAsia" w:ascii="Times New Roman" w:hAnsi="Times New Roman" w:eastAsia="仿宋_GB2312"/>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年预算收支安排608.02</w:t>
      </w:r>
      <w:r>
        <w:rPr>
          <w:rFonts w:hint="eastAsia" w:ascii="Times New Roman" w:hAnsi="Times New Roman" w:eastAsia="仿宋_GB2312" w:cs="Times New Roman"/>
          <w:sz w:val="32"/>
          <w:szCs w:val="32"/>
        </w:rPr>
        <w:t>万元，较2022年预算增加</w:t>
      </w:r>
      <w:r>
        <w:rPr>
          <w:rFonts w:hint="eastAsia" w:ascii="Times New Roman" w:hAnsi="Times New Roman" w:eastAsia="仿宋_GB2312" w:cs="Times New Roman"/>
          <w:sz w:val="32"/>
          <w:szCs w:val="32"/>
          <w:lang w:val="en-US" w:eastAsia="zh-CN"/>
        </w:rPr>
        <w:t>143.02</w:t>
      </w:r>
      <w:r>
        <w:rPr>
          <w:rFonts w:hint="eastAsia"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142.11</w:t>
      </w:r>
      <w:r>
        <w:rPr>
          <w:rFonts w:hint="eastAsia"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人员经费</w:t>
      </w:r>
      <w:r>
        <w:rPr>
          <w:rFonts w:hint="eastAsia"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0.92</w:t>
      </w:r>
      <w:r>
        <w:rPr>
          <w:rFonts w:hint="eastAsia" w:ascii="Times New Roman" w:hAnsi="Times New Roman" w:eastAsia="仿宋_GB2312" w:cs="Times New Roman"/>
          <w:sz w:val="32"/>
          <w:szCs w:val="32"/>
        </w:rPr>
        <w:t>万元，主要</w:t>
      </w:r>
      <w:r>
        <w:rPr>
          <w:rFonts w:ascii="Times New Roman" w:hAnsi="Times New Roman" w:eastAsia="仿宋_GB2312" w:cs="Times New Roman"/>
          <w:sz w:val="32"/>
          <w:szCs w:val="32"/>
        </w:rPr>
        <w:t>为</w:t>
      </w:r>
      <w:r>
        <w:rPr>
          <w:rFonts w:hint="eastAsia" w:ascii="Times New Roman" w:hAnsi="Times New Roman" w:eastAsia="仿宋_GB2312"/>
          <w:sz w:val="32"/>
          <w:szCs w:val="32"/>
          <w:lang w:eastAsia="zh-CN"/>
        </w:rPr>
        <w:t>办公场所租赁</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年，我局机关运行经费共计安排32.22万元，主要用于</w:t>
      </w:r>
      <w:r>
        <w:rPr>
          <w:rFonts w:hint="eastAsia" w:ascii="Times New Roman" w:hAnsi="Times New Roman" w:eastAsia="仿宋_GB2312"/>
          <w:sz w:val="32"/>
          <w:szCs w:val="32"/>
        </w:rPr>
        <w:t>办公区的</w:t>
      </w:r>
      <w:r>
        <w:rPr>
          <w:rFonts w:ascii="Times New Roman" w:hAnsi="Times New Roman" w:eastAsia="仿宋_GB2312"/>
          <w:sz w:val="32"/>
          <w:szCs w:val="32"/>
        </w:rPr>
        <w:t>日常维修、</w:t>
      </w:r>
      <w:r>
        <w:rPr>
          <w:rFonts w:hint="eastAsia" w:ascii="Times New Roman" w:hAnsi="Times New Roman" w:eastAsia="仿宋_GB2312"/>
          <w:sz w:val="32"/>
          <w:szCs w:val="32"/>
        </w:rPr>
        <w:t>办公及印刷费、邮电费、公务用车运行维护费</w:t>
      </w:r>
      <w:r>
        <w:rPr>
          <w:rFonts w:ascii="Times New Roman" w:hAnsi="Times New Roman" w:eastAsia="仿宋_GB2312"/>
          <w:sz w:val="32"/>
          <w:szCs w:val="32"/>
        </w:rPr>
        <w:t>等日常运行支出。</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FF0000"/>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23</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0万元</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1.71</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22</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公务用车购置及运维费减</w:t>
      </w:r>
      <w:bookmarkStart w:id="2" w:name="_GoBack"/>
      <w:bookmarkEnd w:id="2"/>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万元（其中：公务用车购置费与20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年相比持平，无增减变化，公务用车运维费与20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年相比减</w:t>
      </w:r>
      <w:r>
        <w:rPr>
          <w:rFonts w:hint="eastAsia" w:ascii="Times New Roman" w:hAnsi="Times New Roman" w:eastAsia="仿宋_GB2312" w:cs="Times New Roman"/>
          <w:sz w:val="32"/>
          <w:szCs w:val="32"/>
        </w:rPr>
        <w:t>少</w:t>
      </w:r>
      <w:r>
        <w:rPr>
          <w:rFonts w:hint="eastAsia" w:ascii="Times New Roman" w:hAnsi="Times New Roman" w:eastAsia="仿宋_GB2312" w:cs="Times New Roman"/>
          <w:sz w:val="32"/>
          <w:szCs w:val="32"/>
          <w:lang w:val="en-US" w:eastAsia="zh-CN"/>
        </w:rPr>
        <w:t>0.19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；公务接待费与20</w:t>
      </w: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黑体" w:eastAsia="黑体" w:cs="Times New Roman"/>
          <w:sz w:val="32"/>
          <w:szCs w:val="32"/>
        </w:rPr>
      </w:pPr>
      <w:r>
        <w:rPr>
          <w:rFonts w:ascii="Times New Roman" w:hAnsi="黑体" w:eastAsia="黑体" w:cs="Times New Roman"/>
          <w:sz w:val="32"/>
          <w:szCs w:val="32"/>
        </w:rPr>
        <w:t>五、预算绩效信息</w:t>
      </w:r>
    </w:p>
    <w:p>
      <w:pPr>
        <w:spacing w:line="584" w:lineRule="exact"/>
        <w:ind w:firstLine="640" w:firstLineChars="200"/>
        <w:rPr>
          <w:rFonts w:ascii="Times New Roman" w:hAnsi="黑体" w:eastAsia="黑体" w:cs="Times New Roman"/>
          <w:sz w:val="32"/>
          <w:szCs w:val="32"/>
        </w:rPr>
      </w:pPr>
      <w:r>
        <w:rPr>
          <w:rFonts w:hint="eastAsia" w:ascii="Times New Roman" w:hAnsi="黑体" w:eastAsia="黑体" w:cs="Times New Roman"/>
          <w:sz w:val="32"/>
          <w:szCs w:val="32"/>
        </w:rPr>
        <w:t>第一部分部门整体绩效目标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贯彻落实党中央、省委、市委和县委关于行政管理体制和机构改革以及机构编制管理的政策法规，组织拟订相关政策规定和地方规范性文件并监督实施。管理和指导全县各级党委、人大、政府、政协、监察委机关，各民主党派、人民团体机关以及全县事业单位的机构编制工作。通过项目的开展，持续完善我县党政机构职能体系，推进重要领域体制机制创新，统筹配置各类编制资源，确保我县党政群机构改革顺利推进和全县各项工作的顺利开展。</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firstLine="643" w:firstLineChars="200"/>
        <w:jc w:val="left"/>
        <w:rPr>
          <w:rFonts w:ascii="Times New Roman" w:hAnsi="Times New Roman" w:eastAsia="仿宋_GB2312"/>
          <w:sz w:val="32"/>
          <w:szCs w:val="32"/>
        </w:rPr>
      </w:pPr>
      <w:r>
        <w:rPr>
          <w:rFonts w:hint="eastAsia" w:ascii="楷体_GB2312" w:eastAsia="楷体_GB2312" w:cs="Times New Roman"/>
          <w:b/>
          <w:sz w:val="32"/>
          <w:szCs w:val="32"/>
          <w:lang w:val="en-US" w:eastAsia="zh-CN"/>
        </w:rPr>
        <w:t xml:space="preserve"> </w:t>
      </w:r>
      <w:r>
        <w:rPr>
          <w:rFonts w:hint="eastAsia" w:ascii="Times New Roman" w:hAnsi="Times New Roman" w:eastAsia="仿宋_GB2312"/>
          <w:sz w:val="32"/>
          <w:szCs w:val="32"/>
          <w:lang w:val="en-US" w:eastAsia="zh-CN"/>
        </w:rPr>
        <w:t>1</w:t>
      </w:r>
      <w:r>
        <w:rPr>
          <w:rFonts w:ascii="Times New Roman" w:hAnsi="Times New Roman" w:eastAsia="仿宋_GB2312"/>
          <w:sz w:val="32"/>
          <w:szCs w:val="32"/>
        </w:rPr>
        <w:t>、县、镇机构改革、机构调整、职能调整工作经费。通过项目的开展，持续完善我县党政机构职能体系，推进重要领域体制机制创新，统筹配置各类编制资源，确保我县党政群机构改革顺利推进和全县各项工作的顺利开展。</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ascii="Times New Roman" w:hAnsi="Times New Roman" w:eastAsia="仿宋_GB2312"/>
          <w:sz w:val="32"/>
          <w:szCs w:val="32"/>
        </w:rPr>
        <w:t>、机构编制监督检查和事业单位法人登记工作经费。安排事业单位法人登记工作项目，用于事业单位法人初始登记、变更、注销等工作随时开展、用于事业单位法人年度报告工作、全县机关、群团统一社会信用代码赋码工作和用于对事业单位法人实施“双随机、一公开”监管工作，项目全年开展。用于全县加强机构编制监督检查工作，在项目实施过程中，中共香河县委机构编制委员会办公室主要承担全县加强机构编制管理监督检查，严格控制机构编制和人员增长职责，开展对</w:t>
      </w:r>
      <w:r>
        <w:rPr>
          <w:rFonts w:hint="eastAsia" w:ascii="Times New Roman" w:hAnsi="Times New Roman" w:eastAsia="仿宋_GB2312"/>
          <w:sz w:val="32"/>
          <w:szCs w:val="32"/>
          <w:lang w:eastAsia="zh-CN"/>
        </w:rPr>
        <w:t>全县</w:t>
      </w:r>
      <w:r>
        <w:rPr>
          <w:rFonts w:ascii="Times New Roman" w:hAnsi="Times New Roman" w:eastAsia="仿宋_GB2312"/>
          <w:sz w:val="32"/>
          <w:szCs w:val="32"/>
        </w:rPr>
        <w:t>党政部门</w:t>
      </w:r>
      <w:r>
        <w:rPr>
          <w:rFonts w:hint="eastAsia" w:ascii="Times New Roman" w:hAnsi="Times New Roman" w:eastAsia="仿宋_GB2312"/>
          <w:sz w:val="32"/>
          <w:szCs w:val="32"/>
          <w:lang w:eastAsia="zh-CN"/>
        </w:rPr>
        <w:t>、</w:t>
      </w:r>
      <w:r>
        <w:rPr>
          <w:rFonts w:ascii="Times New Roman" w:hAnsi="Times New Roman" w:eastAsia="仿宋_GB2312"/>
          <w:sz w:val="32"/>
          <w:szCs w:val="32"/>
        </w:rPr>
        <w:t>乡镇</w:t>
      </w:r>
      <w:r>
        <w:rPr>
          <w:rFonts w:hint="eastAsia" w:ascii="Times New Roman" w:hAnsi="Times New Roman" w:eastAsia="仿宋_GB2312"/>
          <w:sz w:val="32"/>
          <w:szCs w:val="32"/>
          <w:lang w:eastAsia="zh-CN"/>
        </w:rPr>
        <w:t>、</w:t>
      </w:r>
      <w:r>
        <w:rPr>
          <w:rFonts w:ascii="Times New Roman" w:hAnsi="Times New Roman" w:eastAsia="仿宋_GB2312"/>
          <w:sz w:val="32"/>
          <w:szCs w:val="32"/>
        </w:rPr>
        <w:t>群团机关</w:t>
      </w:r>
      <w:r>
        <w:rPr>
          <w:rFonts w:hint="eastAsia" w:ascii="Times New Roman" w:hAnsi="Times New Roman" w:eastAsia="仿宋_GB2312"/>
          <w:sz w:val="32"/>
          <w:szCs w:val="32"/>
          <w:lang w:eastAsia="zh-CN"/>
        </w:rPr>
        <w:t>、</w:t>
      </w:r>
      <w:r>
        <w:rPr>
          <w:rFonts w:ascii="Times New Roman" w:hAnsi="Times New Roman" w:eastAsia="仿宋_GB2312"/>
          <w:sz w:val="32"/>
          <w:szCs w:val="32"/>
        </w:rPr>
        <w:t>人大政协</w:t>
      </w:r>
      <w:r>
        <w:rPr>
          <w:rFonts w:hint="eastAsia" w:ascii="Times New Roman" w:hAnsi="Times New Roman" w:eastAsia="仿宋_GB2312"/>
          <w:sz w:val="32"/>
          <w:szCs w:val="32"/>
          <w:lang w:eastAsia="zh-CN"/>
        </w:rPr>
        <w:t>的</w:t>
      </w:r>
      <w:r>
        <w:rPr>
          <w:rFonts w:ascii="Times New Roman" w:hAnsi="Times New Roman" w:eastAsia="仿宋_GB2312"/>
          <w:sz w:val="32"/>
          <w:szCs w:val="32"/>
        </w:rPr>
        <w:t>机构编制管理监督检查工作。</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ascii="Times New Roman" w:hAnsi="Times New Roman" w:eastAsia="仿宋_GB2312"/>
          <w:sz w:val="32"/>
          <w:szCs w:val="32"/>
        </w:rPr>
        <w:t>、机构编制系统等网络维护经费。为保障编办的正常办公，对编办日常使用的电脑、打印机等设备开展电脑硬件、网络系统维护项目，内容主要包括：1、网络设备的调试维护及更新；2、查杀毒及网络畅通检查维护维修；3、电脑内部清洁、除尘等；4、对日常使用设备的检查维修工作；</w:t>
      </w:r>
    </w:p>
    <w:p>
      <w:pPr>
        <w:autoSpaceDE w:val="0"/>
        <w:autoSpaceDN w:val="0"/>
        <w:adjustRightInd w:val="0"/>
        <w:spacing w:line="584" w:lineRule="exact"/>
        <w:ind w:left="197" w:leftChars="94" w:firstLine="640" w:firstLineChars="200"/>
        <w:jc w:val="left"/>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4</w:t>
      </w:r>
      <w:r>
        <w:rPr>
          <w:rFonts w:ascii="Times New Roman" w:hAnsi="Times New Roman" w:eastAsia="仿宋_GB2312"/>
          <w:sz w:val="32"/>
          <w:szCs w:val="32"/>
        </w:rPr>
        <w:t>、中文域名网站开通经费。根据《关于进一步加强党政机群机关和事业单位网上名称管理工作的通知》，由中共香河县委机构编制委员会办公室主要承担中文域名注册管理，开展对全县机关事业单位的中文域名续费工作，确保各机关事业单位网站的正常运行。</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1、加强中文域名管理,加大推广力度。按照市编办要求，为进一步提升网站建设管理水平，促进政府网站健康有序发展。</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2、对使用的电脑、打印机等设备进行常规检查、清洁除尘及进行日常维护工作，发现问题及时通知有关人员进行维修，确保正常使用。</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3、根据机构改革情况，制定各机关事业单位编制、岗位、职责等构成，及时印发至各单位。每月开展实名制数据月报工作，年底开展年度统计分析工作，加强和完善机构编制信息管理平台建设。</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r>
        <w:rPr>
          <w:rFonts w:ascii="Times New Roman" w:hAnsi="Times New Roman" w:eastAsia="仿宋_GB2312"/>
          <w:sz w:val="32"/>
          <w:szCs w:val="32"/>
        </w:rPr>
        <w:t>4、不断优化登记管理，探索事业单位监督管理方式创新，切实履行登记管理职能，努力提升监管服务水平。</w:t>
      </w: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ind w:left="197" w:leftChars="94" w:firstLine="640" w:firstLineChars="200"/>
        <w:jc w:val="left"/>
        <w:rPr>
          <w:rFonts w:ascii="Times New Roman" w:hAnsi="Times New Roman" w:eastAsia="仿宋_GB2312"/>
          <w:sz w:val="32"/>
          <w:szCs w:val="32"/>
        </w:rPr>
      </w:pPr>
    </w:p>
    <w:p>
      <w:pPr>
        <w:autoSpaceDE w:val="0"/>
        <w:autoSpaceDN w:val="0"/>
        <w:adjustRightInd w:val="0"/>
        <w:spacing w:line="584" w:lineRule="exact"/>
        <w:jc w:val="left"/>
        <w:rPr>
          <w:rFonts w:ascii="Times New Roman" w:hAnsi="Times New Roman" w:eastAsia="仿宋_GB2312"/>
          <w:sz w:val="32"/>
          <w:szCs w:val="32"/>
        </w:rPr>
      </w:pPr>
    </w:p>
    <w:p>
      <w:pPr>
        <w:spacing w:line="584" w:lineRule="exact"/>
        <w:ind w:firstLine="640" w:firstLineChars="200"/>
        <w:rPr>
          <w:rFonts w:hint="eastAsia" w:ascii="Times New Roman" w:hAnsi="黑体" w:eastAsia="黑体" w:cs="Times New Roman"/>
          <w:sz w:val="32"/>
          <w:szCs w:val="32"/>
        </w:rPr>
      </w:pPr>
      <w:r>
        <w:rPr>
          <w:rFonts w:hint="eastAsia" w:ascii="Times New Roman" w:hAnsi="黑体" w:eastAsia="黑体" w:cs="Times New Roman"/>
          <w:sz w:val="32"/>
          <w:szCs w:val="32"/>
        </w:rPr>
        <w:t>第二部分资金绩效目标</w:t>
      </w:r>
    </w:p>
    <w:p>
      <w:pPr>
        <w:spacing w:line="584" w:lineRule="exact"/>
        <w:ind w:firstLine="640" w:firstLineChars="200"/>
        <w:rPr>
          <w:rFonts w:hint="eastAsia" w:ascii="Times New Roman" w:hAnsi="黑体" w:eastAsia="黑体" w:cs="Times New Roman"/>
          <w:sz w:val="32"/>
          <w:szCs w:val="32"/>
        </w:rPr>
      </w:pPr>
    </w:p>
    <w:p>
      <w:pPr>
        <w:spacing w:before="0" w:after="0"/>
        <w:ind w:firstLine="560"/>
        <w:jc w:val="left"/>
        <w:outlineLvl w:val="3"/>
        <w:rPr>
          <w:rFonts w:hint="eastAsia" w:ascii="仿宋_GB2312" w:hAnsi="仿宋_GB2312" w:eastAsia="仿宋_GB2312" w:cs="仿宋_GB2312"/>
        </w:rPr>
      </w:pPr>
      <w:r>
        <w:rPr>
          <w:rFonts w:hint="eastAsia" w:ascii="Times New Roman" w:hAnsi="Times New Roman" w:eastAsia="仿宋_GB2312" w:cs="Times New Roman"/>
          <w:sz w:val="28"/>
        </w:rPr>
        <w:t>1.事业单位奖励性绩效工资绩效目标表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ascii="Times New Roman" w:hAnsi="Times New Roman" w:eastAsia="仿宋_GB2312" w:cs="Times New Roman"/>
                <w:b/>
              </w:rPr>
            </w:pPr>
            <w:r>
              <w:rPr>
                <w:rFonts w:ascii="Times New Roman" w:hAnsi="Times New Roman" w:eastAsia="仿宋_GB2312" w:cs="Times New Roman"/>
                <w:kern w:val="2"/>
                <w:sz w:val="24"/>
                <w:szCs w:val="24"/>
                <w:lang w:val="en-US" w:eastAsia="zh-CN" w:bidi="ar-SA"/>
              </w:rPr>
              <w:t>保障工作人员工资按时发放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人员数量</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在职人员数量</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≥8人</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数量指标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工资保障率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工资发放保障率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时效指标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完成及时率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发放及时率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成本指标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总预算成本</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总成本</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1000元</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经济效益指标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资金拨付率</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资金拨付率</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≥95比率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社会效益指标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维护工作人员权益，促进社会和谐稳定</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维护工作人员权益，促进社会和谐稳定</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服务对象满意度指标</w:t>
            </w:r>
          </w:p>
        </w:tc>
        <w:tc>
          <w:tcPr>
            <w:tcW w:w="198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工作人员满意度</w:t>
            </w:r>
          </w:p>
        </w:tc>
        <w:tc>
          <w:tcPr>
            <w:tcW w:w="3402"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工作人员满意度</w:t>
            </w:r>
          </w:p>
        </w:tc>
        <w:tc>
          <w:tcPr>
            <w:tcW w:w="1843"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≥95比率</w:t>
            </w:r>
          </w:p>
        </w:tc>
        <w:tc>
          <w:tcPr>
            <w:tcW w:w="2155" w:type="dxa"/>
            <w:shd w:val="clear" w:color="auto" w:fill="auto"/>
            <w:vAlign w:val="center"/>
          </w:tcPr>
          <w:p>
            <w:pPr>
              <w:pStyle w:val="18"/>
              <w:rPr>
                <w:rFonts w:ascii="Times New Roman" w:hAnsi="Times New Roman" w:eastAsia="仿宋_GB2312" w:cs="Times New Roman"/>
                <w:kern w:val="2"/>
                <w:sz w:val="24"/>
                <w:szCs w:val="24"/>
                <w:lang w:val="en-US" w:eastAsia="zh-CN" w:bidi="ar-SA"/>
              </w:rPr>
            </w:pPr>
            <w:r>
              <w:rPr>
                <w:rFonts w:ascii="Times New Roman" w:hAnsi="Times New Roman" w:eastAsia="仿宋_GB2312" w:cs="Times New Roman"/>
                <w:kern w:val="2"/>
                <w:sz w:val="24"/>
                <w:szCs w:val="24"/>
                <w:lang w:val="en-US" w:eastAsia="zh-CN" w:bidi="ar-SA"/>
              </w:rPr>
              <w:t>满意度调查</w:t>
            </w:r>
          </w:p>
        </w:tc>
      </w:tr>
    </w:tbl>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rPr>
      </w:pPr>
      <w:r>
        <w:rPr>
          <w:rFonts w:hint="default" w:ascii="Times New Roman" w:hAnsi="Times New Roman" w:eastAsia="仿宋_GB2312" w:cs="Times New Roman"/>
          <w:sz w:val="28"/>
        </w:rPr>
        <w:t>2.</w:t>
      </w:r>
      <w:r>
        <w:rPr>
          <w:rFonts w:hint="default" w:ascii="Times New Roman" w:hAnsi="Times New Roman" w:eastAsia="仿宋_GB2312" w:cs="Times New Roman"/>
          <w:color w:val="000000"/>
          <w:sz w:val="28"/>
        </w:rPr>
        <w:t>单位办公场所租金绩效目标表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保障办公场所稳定。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场地租赁数量</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场地租赁数量</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1个</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满足日常办公需要</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办公用房租赁</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租用时限</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租用时限</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租金成本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租金成本</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2"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满足单位职工日常办公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为单位职工日常提供稳定场所</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1项</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可持续提供稳定场所</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可持续长期提供稳定场所</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租赁合同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单位职工满意度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单位职工满意度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p>
        </w:tc>
      </w:tr>
    </w:tbl>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ind w:firstLine="880" w:firstLineChars="200"/>
        <w:jc w:val="left"/>
        <w:rPr>
          <w:rFonts w:ascii="Times New Roman" w:hAnsi="黑体" w:eastAsia="黑体" w:cs="Times New Roman"/>
          <w:color w:val="FF0000"/>
          <w:sz w:val="44"/>
          <w:szCs w:val="44"/>
        </w:rPr>
      </w:pPr>
    </w:p>
    <w:p>
      <w:pPr>
        <w:autoSpaceDE w:val="0"/>
        <w:autoSpaceDN w:val="0"/>
        <w:adjustRightInd w:val="0"/>
        <w:spacing w:line="584" w:lineRule="exact"/>
        <w:jc w:val="left"/>
        <w:rPr>
          <w:rFonts w:ascii="Times New Roman" w:hAnsi="黑体" w:eastAsia="黑体" w:cs="Times New Roman"/>
          <w:color w:val="FF0000"/>
          <w:sz w:val="44"/>
          <w:szCs w:val="44"/>
        </w:rPr>
      </w:pPr>
    </w:p>
    <w:p>
      <w:pPr>
        <w:autoSpaceDE w:val="0"/>
        <w:autoSpaceDN w:val="0"/>
        <w:adjustRightInd w:val="0"/>
        <w:spacing w:line="584" w:lineRule="exact"/>
        <w:jc w:val="left"/>
        <w:rPr>
          <w:rFonts w:ascii="Times New Roman" w:hAnsi="黑体" w:eastAsia="黑体" w:cs="Times New Roman"/>
          <w:color w:val="FF0000"/>
          <w:sz w:val="44"/>
          <w:szCs w:val="44"/>
        </w:rPr>
      </w:pPr>
    </w:p>
    <w:p>
      <w:pPr>
        <w:spacing w:before="0" w:after="0"/>
        <w:ind w:firstLine="560"/>
        <w:jc w:val="left"/>
        <w:outlineLvl w:val="3"/>
        <w:rPr>
          <w:rFonts w:hint="default"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hint="default" w:ascii="Times New Roman" w:hAnsi="Times New Roman" w:eastAsia="仿宋_GB2312" w:cs="Times New Roman"/>
          <w:sz w:val="28"/>
        </w:rPr>
        <w:t>.机构编制监督检查和事业单位法人登记工作经费绩效目标表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w:t>
            </w:r>
            <w:r>
              <w:rPr>
                <w:rFonts w:hint="default" w:ascii="Times New Roman" w:hAnsi="Times New Roman" w:eastAsia="仿宋_GB2312" w:cs="Times New Roman"/>
                <w:sz w:val="28"/>
              </w:rPr>
              <w:t>机构编制监督检查和事业单位法人登记工作</w:t>
            </w:r>
            <w:r>
              <w:rPr>
                <w:rFonts w:hint="eastAsia" w:ascii="Times New Roman" w:hAnsi="Times New Roman" w:eastAsia="仿宋_GB2312" w:cs="Times New Roman"/>
                <w:sz w:val="28"/>
                <w:lang w:eastAsia="zh-CN"/>
              </w:rPr>
              <w:t>顺利开展。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年检工作数量</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开展年检工作数量</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≥178家</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事业单位名称统计；年检通知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“双随机、一公开”检查比例</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100百分比</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年检通过率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年检合格率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“双随机、一公开”监管工作合格率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“双随机、一公开”监管工作合格率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年检报告完成时间</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年检通知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完成时间</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“双随机、一公开”监管工作</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预算控制数</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项目预算控制数</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≤4万元</w:t>
            </w:r>
          </w:p>
        </w:tc>
        <w:tc>
          <w:tcPr>
            <w:tcW w:w="2155" w:type="dxa"/>
            <w:shd w:val="clear" w:color="auto" w:fill="auto"/>
            <w:vAlign w:val="center"/>
          </w:tcPr>
          <w:p>
            <w:pPr>
              <w:pStyle w:val="18"/>
              <w:rPr>
                <w:rFonts w:hint="eastAsia" w:ascii="仿宋_GB2312" w:hAnsi="仿宋_GB2312" w:eastAsia="仿宋_GB2312" w:cs="仿宋_GB2312"/>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通过及时年检，印发合格标记，保护事业单位的合法权益</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保护事业单位合法权益</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社会效益指标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事业单位登记管理</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推动党政机关精简机构和科学管理</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事业单位对年检工作的满意度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满意度调查问卷</w:t>
            </w:r>
          </w:p>
        </w:tc>
      </w:tr>
    </w:tbl>
    <w:p>
      <w:pPr>
        <w:spacing w:before="0" w:after="0"/>
        <w:ind w:firstLine="560"/>
        <w:jc w:val="left"/>
        <w:outlineLvl w:val="3"/>
        <w:rPr>
          <w:rFonts w:hint="default" w:ascii="Times New Roman" w:hAnsi="Times New Roman" w:eastAsia="仿宋_GB2312" w:cs="Times New Roman"/>
          <w:color w:val="000000"/>
          <w:sz w:val="28"/>
        </w:rPr>
      </w:pPr>
      <w:r>
        <w:rPr>
          <w:rFonts w:hint="eastAsia" w:ascii="Times New Roman" w:hAnsi="Times New Roman" w:eastAsia="仿宋_GB2312" w:cs="Times New Roman"/>
          <w:sz w:val="28"/>
          <w:lang w:val="en-US" w:eastAsia="zh-CN"/>
        </w:rPr>
        <w:t>4</w:t>
      </w:r>
      <w:r>
        <w:rPr>
          <w:rFonts w:hint="default" w:ascii="Times New Roman" w:hAnsi="Times New Roman" w:eastAsia="仿宋_GB2312" w:cs="Times New Roman"/>
          <w:sz w:val="28"/>
        </w:rPr>
        <w:t>.</w:t>
      </w:r>
      <w:r>
        <w:rPr>
          <w:rFonts w:hint="default" w:ascii="Times New Roman" w:hAnsi="Times New Roman" w:eastAsia="仿宋_GB2312" w:cs="Times New Roman"/>
          <w:color w:val="000000"/>
          <w:sz w:val="28"/>
        </w:rPr>
        <w:t>机构编制系统等网络维护工作经费绩效目标表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保障日常办公设备和网络正常运行。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检查维护次数</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检查维护次数</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≥120次</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数量指标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更换零配件工作</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更换零配件工作</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≥16台</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质量指标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维修率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时效指标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按月完成维护频次，出现异常，及时维修</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按月完成维护频次，出现异常，及时维修</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12月份</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成本指标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检修、维修成本</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检修、维修成本</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≤3.65万元</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生态效益指标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设备的正常运转率</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设备的正常运转率</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可持续影响指标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保障设备的正常使用寿命</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电脑设备等的正常使用1年</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1年</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服务对象满意度指标</w:t>
            </w:r>
          </w:p>
        </w:tc>
        <w:tc>
          <w:tcPr>
            <w:tcW w:w="198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单位内部人员满意度</w:t>
            </w:r>
          </w:p>
        </w:tc>
        <w:tc>
          <w:tcPr>
            <w:tcW w:w="3402"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单位内部人员满意度</w:t>
            </w:r>
          </w:p>
        </w:tc>
        <w:tc>
          <w:tcPr>
            <w:tcW w:w="1843"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≥95比率</w:t>
            </w:r>
          </w:p>
        </w:tc>
        <w:tc>
          <w:tcPr>
            <w:tcW w:w="2155" w:type="dxa"/>
            <w:shd w:val="clear" w:color="auto" w:fill="auto"/>
            <w:vAlign w:val="center"/>
          </w:tcPr>
          <w:p>
            <w:pPr>
              <w:pStyle w:val="1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满意度指标</w:t>
            </w:r>
          </w:p>
        </w:tc>
      </w:tr>
    </w:tbl>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default" w:ascii="Times New Roman" w:hAnsi="Times New Roman" w:eastAsia="仿宋_GB2312" w:cs="Times New Roman"/>
          <w:sz w:val="28"/>
        </w:rPr>
      </w:pPr>
    </w:p>
    <w:p>
      <w:pPr>
        <w:spacing w:before="0" w:after="0"/>
        <w:ind w:firstLine="560"/>
        <w:jc w:val="left"/>
        <w:outlineLvl w:val="3"/>
        <w:rPr>
          <w:rFonts w:hint="eastAsia"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5.中文域名网站运行费绩效目标表</w:t>
      </w:r>
    </w:p>
    <w:p>
      <w:pPr>
        <w:spacing w:before="0" w:after="0"/>
        <w:ind w:firstLine="560"/>
        <w:jc w:val="left"/>
        <w:outlineLvl w:val="3"/>
        <w:rPr>
          <w:rFonts w:hint="default"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2796"/>
        <w:gridCol w:w="1535"/>
        <w:gridCol w:w="306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保障全县党政机关和事业单位中文域名网站正常运行。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279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35"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06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数量指标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域名续费工作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开展域名续费工作</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≥500家</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及时完成续费工作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及时续费完成率</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时效指标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6月前完成约500家网站续费工作</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续费完成时间</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6月份</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成本指标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单位控制成本200元，总成本控制在1万元内</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项目预算控制数</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≤200元</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《关于进一步加强党政机群机关和事业单位网上名称管理工作的通知》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生态效益指标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域名管理</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规范域名管理，保障机关事业单位的网站的正常运行</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可持续影响指标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提高网站的规范性</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系统正常使用年限</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服务对象满意度指标</w:t>
            </w:r>
          </w:p>
        </w:tc>
        <w:tc>
          <w:tcPr>
            <w:tcW w:w="198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机关事业单位工作人员满意度</w:t>
            </w:r>
          </w:p>
        </w:tc>
        <w:tc>
          <w:tcPr>
            <w:tcW w:w="2796"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机关事业单位工作人员对域名工作满意度</w:t>
            </w:r>
          </w:p>
        </w:tc>
        <w:tc>
          <w:tcPr>
            <w:tcW w:w="1535"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≥95百分比</w:t>
            </w:r>
          </w:p>
        </w:tc>
        <w:tc>
          <w:tcPr>
            <w:tcW w:w="306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满意度调查问卷</w:t>
            </w:r>
          </w:p>
        </w:tc>
      </w:tr>
    </w:tbl>
    <w:p>
      <w:pPr>
        <w:spacing w:before="0" w:after="0"/>
        <w:ind w:firstLine="560"/>
        <w:jc w:val="left"/>
        <w:outlineLvl w:val="3"/>
        <w:rPr>
          <w:rFonts w:hint="default" w:ascii="Times New Roman" w:hAnsi="Times New Roman" w:eastAsia="仿宋_GB2312" w:cs="Times New Roman"/>
          <w:sz w:val="28"/>
          <w:lang w:val="en-US" w:eastAsia="zh-CN"/>
        </w:rPr>
      </w:pPr>
      <w:r>
        <w:rPr>
          <w:rFonts w:hint="eastAsia" w:ascii="Times New Roman" w:hAnsi="Times New Roman" w:eastAsia="仿宋_GB2312" w:cs="Times New Roman"/>
          <w:sz w:val="28"/>
          <w:lang w:val="en-US" w:eastAsia="zh-CN"/>
        </w:rPr>
        <w:t>6</w:t>
      </w:r>
      <w:r>
        <w:rPr>
          <w:rFonts w:hint="default" w:ascii="Times New Roman" w:hAnsi="Times New Roman" w:eastAsia="仿宋_GB2312" w:cs="Times New Roman"/>
          <w:sz w:val="28"/>
          <w:lang w:val="en-US" w:eastAsia="zh-CN"/>
        </w:rPr>
        <w:t>.</w:t>
      </w:r>
      <w:r>
        <w:rPr>
          <w:rFonts w:hint="eastAsia" w:ascii="Times New Roman" w:hAnsi="Times New Roman" w:eastAsia="仿宋_GB2312" w:cs="Times New Roman"/>
          <w:sz w:val="28"/>
          <w:lang w:val="en-US" w:eastAsia="zh-CN"/>
        </w:rPr>
        <w:t>县、镇机构改革、机构调整、职能调整工作经费绩效目标表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64"/>
        <w:gridCol w:w="1447"/>
        <w:gridCol w:w="2523"/>
        <w:gridCol w:w="3159"/>
        <w:gridCol w:w="1377"/>
        <w:gridCol w:w="3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998" w:type="dxa"/>
            <w:gridSpan w:val="5"/>
            <w:shd w:val="clear" w:color="auto" w:fill="auto"/>
            <w:vAlign w:val="center"/>
          </w:tcPr>
          <w:p>
            <w:pPr>
              <w:spacing w:line="584" w:lineRule="exact"/>
              <w:rPr>
                <w:rFonts w:hint="eastAsia" w:ascii="Times New Roman" w:hAnsi="Times New Roman" w:eastAsia="仿宋_GB2312" w:cs="Times New Roman"/>
                <w:b/>
                <w:lang w:eastAsia="zh-CN"/>
              </w:rPr>
            </w:pPr>
            <w:r>
              <w:rPr>
                <w:rFonts w:hint="eastAsia" w:ascii="仿宋_GB2312" w:hAnsi="仿宋_GB2312" w:eastAsia="仿宋_GB2312" w:cs="仿宋_GB2312"/>
                <w:kern w:val="0"/>
                <w:sz w:val="24"/>
                <w:szCs w:val="24"/>
                <w:lang w:val="en-US" w:eastAsia="zh-CN" w:bidi="ar-SA"/>
              </w:rPr>
              <w:t>保障</w:t>
            </w:r>
            <w:r>
              <w:rPr>
                <w:rFonts w:hint="eastAsia" w:ascii="Times New Roman" w:hAnsi="Times New Roman" w:eastAsia="仿宋_GB2312" w:cs="Times New Roman"/>
                <w:sz w:val="28"/>
                <w:lang w:val="en-US" w:eastAsia="zh-CN"/>
              </w:rPr>
              <w:t>县、镇机构改革、机构调整、职能调整工作正常开展</w:t>
            </w:r>
            <w:r>
              <w:rPr>
                <w:rFonts w:hint="eastAsia" w:ascii="仿宋_GB2312" w:hAnsi="仿宋_GB2312" w:eastAsia="仿宋_GB2312" w:cs="仿宋_GB2312"/>
                <w:kern w:val="0"/>
                <w:sz w:val="24"/>
                <w:szCs w:val="24"/>
                <w:lang w:val="en-US" w:eastAsia="zh-CN" w:bidi="ar-SA"/>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06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44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523"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1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377"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49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数量指标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月报工作，机构改革、调整文件</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开展月报工作；涉及机构改革、调整时，及时印发文件</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12次</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质量指标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完成情况</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准确、及时、全面印发，优化统筹各类编制资源配置的情况</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100比率</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时效指标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完成时间</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准确、及时、全面印发，优化统筹各类编制资源配置的情况</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≤12月份</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成本指标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预算控制数</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严格控制成本，项目预算控制数</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≤21.4万元</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《中共廊坊市委办公室 廊坊市人民政府办公室关于印发&lt;香河县机构改革方案&gt;的通知》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restart"/>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经济效益指标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统计实名制人员情况，通过信息管理平台建设，进一步优化统筹各类编制资源配置</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优化统筹各类编制资源配置，加强和完善信息管理平台建设</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vMerge w:val="continue"/>
            <w:shd w:val="clear" w:color="auto" w:fill="auto"/>
            <w:vAlign w:val="center"/>
          </w:tcPr>
          <w:p>
            <w:pPr>
              <w:spacing w:line="584" w:lineRule="exact"/>
              <w:jc w:val="center"/>
              <w:rPr>
                <w:rFonts w:ascii="Times New Roman" w:hAnsi="Times New Roman" w:eastAsia="仿宋_GB2312" w:cs="Times New Roman"/>
              </w:rPr>
            </w:pP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社会效益指标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印发机构改革、调整文件</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进一步发挥编办职能，优化统筹各类编制资源配置</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1年</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064"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44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服务对象满意度指标</w:t>
            </w:r>
          </w:p>
        </w:tc>
        <w:tc>
          <w:tcPr>
            <w:tcW w:w="2523"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机关事业单位的满意度</w:t>
            </w:r>
          </w:p>
        </w:tc>
        <w:tc>
          <w:tcPr>
            <w:tcW w:w="3159"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机关事业单位的满意度</w:t>
            </w:r>
          </w:p>
        </w:tc>
        <w:tc>
          <w:tcPr>
            <w:tcW w:w="1377"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≥95</w:t>
            </w:r>
          </w:p>
        </w:tc>
        <w:tc>
          <w:tcPr>
            <w:tcW w:w="3492" w:type="dxa"/>
            <w:shd w:val="clear" w:color="auto" w:fill="auto"/>
            <w:vAlign w:val="center"/>
          </w:tcPr>
          <w:p>
            <w:pPr>
              <w:pStyle w:val="18"/>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23</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spacing w:line="584" w:lineRule="exact"/>
        <w:jc w:val="center"/>
        <w:outlineLvl w:val="1"/>
        <w:rPr>
          <w:rFonts w:ascii="方正小标宋_GBK" w:eastAsia="方正小标宋_GBK" w:cs="Times New Roman"/>
          <w:sz w:val="32"/>
        </w:rPr>
      </w:pPr>
      <w:bookmarkStart w:id="1" w:name="_Toc64920910"/>
      <w:r>
        <w:rPr>
          <w:rFonts w:hint="eastAsia" w:ascii="方正小标宋_GBK" w:eastAsia="方正小标宋_GBK" w:cs="Times New Roman"/>
          <w:sz w:val="32"/>
        </w:rPr>
        <w:t>部门政府采购预算</w:t>
      </w:r>
      <w:bookmarkEnd w:id="1"/>
    </w:p>
    <w:p>
      <w:pPr>
        <w:spacing w:line="584" w:lineRule="exact"/>
        <w:outlineLvl w:val="1"/>
        <w:rPr>
          <w:rFonts w:ascii="方正小标宋_GBK" w:eastAsia="方正小标宋_GBK" w:cs="Times New Roman"/>
          <w:sz w:val="32"/>
        </w:rPr>
      </w:pPr>
      <w:r>
        <w:rPr>
          <w:rFonts w:hint="eastAsia" w:ascii="Times New Roman" w:hAnsi="Times New Roman" w:eastAsia="仿宋_GB2312" w:cs="Times New Roman"/>
          <w:sz w:val="32"/>
          <w:szCs w:val="24"/>
          <w:lang w:eastAsia="zh-CN"/>
        </w:rPr>
        <w:t>中共</w:t>
      </w:r>
      <w:r>
        <w:rPr>
          <w:rFonts w:hint="eastAsia" w:ascii="Times New Roman" w:hAnsi="Times New Roman" w:eastAsia="仿宋_GB2312" w:cs="Times New Roman"/>
          <w:sz w:val="32"/>
          <w:szCs w:val="24"/>
        </w:rPr>
        <w:t>香河县</w:t>
      </w:r>
      <w:r>
        <w:rPr>
          <w:rFonts w:hint="eastAsia" w:ascii="Times New Roman" w:hAnsi="Times New Roman" w:eastAsia="仿宋_GB2312" w:cs="Times New Roman"/>
          <w:sz w:val="32"/>
          <w:szCs w:val="24"/>
          <w:lang w:eastAsia="zh-CN"/>
        </w:rPr>
        <w:t>委机构编制委员会办公室</w:t>
      </w:r>
      <w:r>
        <w:rPr>
          <w:rFonts w:ascii="Times New Roman" w:hAnsi="Times New Roman" w:eastAsia="仿宋_GB2312" w:cs="Times New Roman"/>
          <w:sz w:val="32"/>
          <w:szCs w:val="24"/>
        </w:rPr>
        <w:t xml:space="preserve">        </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6"/>
              <w:spacing w:line="584" w:lineRule="exact"/>
            </w:pPr>
            <w:r>
              <w:t>政府采购项目来源</w:t>
            </w:r>
          </w:p>
        </w:tc>
        <w:tc>
          <w:tcPr>
            <w:tcW w:w="1134" w:type="dxa"/>
            <w:vMerge w:val="restart"/>
            <w:vAlign w:val="center"/>
          </w:tcPr>
          <w:p>
            <w:pPr>
              <w:pStyle w:val="16"/>
              <w:spacing w:line="584" w:lineRule="exact"/>
            </w:pPr>
            <w:r>
              <w:t>采购物品名称</w:t>
            </w:r>
          </w:p>
        </w:tc>
        <w:tc>
          <w:tcPr>
            <w:tcW w:w="1134" w:type="dxa"/>
            <w:vMerge w:val="restart"/>
            <w:vAlign w:val="center"/>
          </w:tcPr>
          <w:p>
            <w:pPr>
              <w:pStyle w:val="16"/>
              <w:spacing w:line="584" w:lineRule="exact"/>
            </w:pPr>
            <w:r>
              <w:t>政府采购目录序号</w:t>
            </w:r>
          </w:p>
        </w:tc>
        <w:tc>
          <w:tcPr>
            <w:tcW w:w="709" w:type="dxa"/>
            <w:vMerge w:val="restart"/>
            <w:vAlign w:val="center"/>
          </w:tcPr>
          <w:p>
            <w:pPr>
              <w:pStyle w:val="16"/>
              <w:spacing w:line="584" w:lineRule="exact"/>
            </w:pPr>
            <w:r>
              <w:t>计量  单位</w:t>
            </w:r>
          </w:p>
        </w:tc>
        <w:tc>
          <w:tcPr>
            <w:tcW w:w="850" w:type="dxa"/>
            <w:vMerge w:val="restart"/>
            <w:vAlign w:val="center"/>
          </w:tcPr>
          <w:p>
            <w:pPr>
              <w:pStyle w:val="16"/>
              <w:spacing w:line="584" w:lineRule="exact"/>
            </w:pPr>
            <w:r>
              <w:t>数量</w:t>
            </w:r>
          </w:p>
        </w:tc>
        <w:tc>
          <w:tcPr>
            <w:tcW w:w="850" w:type="dxa"/>
            <w:vMerge w:val="restart"/>
            <w:vAlign w:val="center"/>
          </w:tcPr>
          <w:p>
            <w:pPr>
              <w:pStyle w:val="16"/>
              <w:spacing w:line="584" w:lineRule="exact"/>
            </w:pPr>
            <w:r>
              <w:t>单价</w:t>
            </w:r>
          </w:p>
        </w:tc>
        <w:tc>
          <w:tcPr>
            <w:tcW w:w="7712" w:type="dxa"/>
            <w:gridSpan w:val="8"/>
            <w:vAlign w:val="center"/>
          </w:tcPr>
          <w:p>
            <w:pPr>
              <w:pStyle w:val="16"/>
              <w:spacing w:line="584" w:lineRule="exact"/>
            </w:pPr>
            <w:r>
              <w:t>政府采购金额（当年部门预算安排资金）</w:t>
            </w:r>
          </w:p>
        </w:tc>
        <w:tc>
          <w:tcPr>
            <w:tcW w:w="964" w:type="dxa"/>
            <w:vMerge w:val="restart"/>
            <w:vAlign w:val="center"/>
          </w:tcPr>
          <w:p>
            <w:pPr>
              <w:pStyle w:val="16"/>
              <w:spacing w:line="584" w:lineRule="exact"/>
            </w:pPr>
            <w:r>
              <w:t>202</w:t>
            </w:r>
            <w:r>
              <w:rPr>
                <w:rFonts w:hint="eastAsia" w:eastAsiaTheme="minorEastAsia"/>
                <w:lang w:eastAsia="zh-CN"/>
              </w:rPr>
              <w:t>3</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6"/>
              <w:spacing w:line="584" w:lineRule="exact"/>
            </w:pPr>
            <w:r>
              <w:t>项目名称</w:t>
            </w:r>
          </w:p>
        </w:tc>
        <w:tc>
          <w:tcPr>
            <w:tcW w:w="964" w:type="dxa"/>
            <w:vAlign w:val="center"/>
          </w:tcPr>
          <w:p>
            <w:pPr>
              <w:pStyle w:val="16"/>
              <w:spacing w:line="584" w:lineRule="exact"/>
            </w:pPr>
            <w:r>
              <w:t>预算    资金</w:t>
            </w:r>
          </w:p>
        </w:tc>
        <w:tc>
          <w:tcPr>
            <w:tcW w:w="1134" w:type="dxa"/>
            <w:vMerge w:val="continue"/>
          </w:tcPr>
          <w:p>
            <w:pPr>
              <w:spacing w:line="584" w:lineRule="exact"/>
            </w:pPr>
          </w:p>
        </w:tc>
        <w:tc>
          <w:tcPr>
            <w:tcW w:w="1134" w:type="dxa"/>
            <w:vMerge w:val="continue"/>
          </w:tcPr>
          <w:p>
            <w:pPr>
              <w:spacing w:line="584" w:lineRule="exact"/>
            </w:pPr>
          </w:p>
        </w:tc>
        <w:tc>
          <w:tcPr>
            <w:tcW w:w="709" w:type="dxa"/>
            <w:vMerge w:val="continue"/>
          </w:tcPr>
          <w:p>
            <w:pPr>
              <w:spacing w:line="584" w:lineRule="exact"/>
            </w:pPr>
          </w:p>
        </w:tc>
        <w:tc>
          <w:tcPr>
            <w:tcW w:w="850" w:type="dxa"/>
            <w:vMerge w:val="continue"/>
          </w:tcPr>
          <w:p>
            <w:pPr>
              <w:spacing w:line="584" w:lineRule="exact"/>
            </w:pPr>
          </w:p>
        </w:tc>
        <w:tc>
          <w:tcPr>
            <w:tcW w:w="850" w:type="dxa"/>
            <w:vMerge w:val="continue"/>
          </w:tcPr>
          <w:p>
            <w:pPr>
              <w:spacing w:line="584" w:lineRule="exact"/>
            </w:pPr>
          </w:p>
        </w:tc>
        <w:tc>
          <w:tcPr>
            <w:tcW w:w="964" w:type="dxa"/>
            <w:vAlign w:val="center"/>
          </w:tcPr>
          <w:p>
            <w:pPr>
              <w:pStyle w:val="16"/>
              <w:spacing w:line="584" w:lineRule="exact"/>
            </w:pPr>
            <w:r>
              <w:t>合计</w:t>
            </w:r>
          </w:p>
        </w:tc>
        <w:tc>
          <w:tcPr>
            <w:tcW w:w="964" w:type="dxa"/>
            <w:vAlign w:val="center"/>
          </w:tcPr>
          <w:p>
            <w:pPr>
              <w:pStyle w:val="16"/>
              <w:spacing w:line="584" w:lineRule="exact"/>
            </w:pPr>
            <w:r>
              <w:t>一般公共预算拨款</w:t>
            </w:r>
          </w:p>
        </w:tc>
        <w:tc>
          <w:tcPr>
            <w:tcW w:w="964" w:type="dxa"/>
            <w:vAlign w:val="center"/>
          </w:tcPr>
          <w:p>
            <w:pPr>
              <w:pStyle w:val="16"/>
              <w:spacing w:line="584" w:lineRule="exact"/>
            </w:pPr>
            <w:r>
              <w:t>基金预算拨款</w:t>
            </w:r>
          </w:p>
        </w:tc>
        <w:tc>
          <w:tcPr>
            <w:tcW w:w="964" w:type="dxa"/>
            <w:vAlign w:val="center"/>
          </w:tcPr>
          <w:p>
            <w:pPr>
              <w:pStyle w:val="16"/>
              <w:spacing w:line="584" w:lineRule="exact"/>
            </w:pPr>
            <w:r>
              <w:t>国有资本经营预算拨款</w:t>
            </w:r>
          </w:p>
        </w:tc>
        <w:tc>
          <w:tcPr>
            <w:tcW w:w="964" w:type="dxa"/>
            <w:vAlign w:val="center"/>
          </w:tcPr>
          <w:p>
            <w:pPr>
              <w:pStyle w:val="16"/>
              <w:spacing w:line="584" w:lineRule="exact"/>
            </w:pPr>
            <w:r>
              <w:t>财政专户核拨</w:t>
            </w:r>
          </w:p>
        </w:tc>
        <w:tc>
          <w:tcPr>
            <w:tcW w:w="964" w:type="dxa"/>
            <w:vAlign w:val="center"/>
          </w:tcPr>
          <w:p>
            <w:pPr>
              <w:pStyle w:val="16"/>
              <w:spacing w:line="584" w:lineRule="exact"/>
            </w:pPr>
            <w:r>
              <w:t>单位    资金</w:t>
            </w:r>
          </w:p>
        </w:tc>
        <w:tc>
          <w:tcPr>
            <w:tcW w:w="964" w:type="dxa"/>
            <w:vAlign w:val="center"/>
          </w:tcPr>
          <w:p>
            <w:pPr>
              <w:pStyle w:val="16"/>
              <w:spacing w:line="584" w:lineRule="exact"/>
            </w:pPr>
            <w:r>
              <w:t>财政拨    款结转</w:t>
            </w:r>
          </w:p>
        </w:tc>
        <w:tc>
          <w:tcPr>
            <w:tcW w:w="964" w:type="dxa"/>
            <w:vAlign w:val="center"/>
          </w:tcPr>
          <w:p>
            <w:pPr>
              <w:pStyle w:val="16"/>
              <w:spacing w:line="584" w:lineRule="exact"/>
            </w:pPr>
            <w:r>
              <w:t>非财政    拨款结    转结余</w:t>
            </w:r>
          </w:p>
        </w:tc>
        <w:tc>
          <w:tcPr>
            <w:tcW w:w="964" w:type="dxa"/>
            <w:vMerge w:val="continue"/>
          </w:tcPr>
          <w:p>
            <w:pPr>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r>
              <w:t>合  计</w:t>
            </w:r>
          </w:p>
        </w:tc>
        <w:tc>
          <w:tcPr>
            <w:tcW w:w="964" w:type="dxa"/>
            <w:vAlign w:val="center"/>
          </w:tcPr>
          <w:p>
            <w:pPr>
              <w:pStyle w:val="21"/>
              <w:spacing w:line="584" w:lineRule="exact"/>
              <w:rPr>
                <w:rFonts w:hint="eastAsia" w:eastAsia="方正书宋_GBK"/>
                <w:lang w:val="en-US" w:eastAsia="zh-CN"/>
              </w:rPr>
            </w:pPr>
            <w:r>
              <w:rPr>
                <w:rFonts w:hint="eastAsia"/>
                <w:lang w:val="en-US" w:eastAsia="zh-CN"/>
              </w:rPr>
              <w:t>0</w:t>
            </w:r>
          </w:p>
        </w:tc>
        <w:tc>
          <w:tcPr>
            <w:tcW w:w="1134" w:type="dxa"/>
            <w:vAlign w:val="center"/>
          </w:tcPr>
          <w:p>
            <w:pPr>
              <w:pStyle w:val="22"/>
              <w:spacing w:line="584" w:lineRule="exact"/>
            </w:pPr>
          </w:p>
        </w:tc>
        <w:tc>
          <w:tcPr>
            <w:tcW w:w="1134" w:type="dxa"/>
            <w:vAlign w:val="center"/>
          </w:tcPr>
          <w:p>
            <w:pPr>
              <w:pStyle w:val="22"/>
              <w:spacing w:line="584" w:lineRule="exact"/>
            </w:pPr>
          </w:p>
        </w:tc>
        <w:tc>
          <w:tcPr>
            <w:tcW w:w="709" w:type="dxa"/>
            <w:vAlign w:val="center"/>
          </w:tcPr>
          <w:p>
            <w:pPr>
              <w:pStyle w:val="20"/>
              <w:spacing w:line="584" w:lineRule="exact"/>
            </w:pPr>
          </w:p>
        </w:tc>
        <w:tc>
          <w:tcPr>
            <w:tcW w:w="850" w:type="dxa"/>
            <w:vAlign w:val="center"/>
          </w:tcPr>
          <w:p>
            <w:pPr>
              <w:pStyle w:val="21"/>
              <w:spacing w:line="584" w:lineRule="exact"/>
            </w:pPr>
          </w:p>
        </w:tc>
        <w:tc>
          <w:tcPr>
            <w:tcW w:w="850"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20"/>
              <w:spacing w:line="584" w:lineRule="exact"/>
            </w:pPr>
          </w:p>
        </w:tc>
        <w:tc>
          <w:tcPr>
            <w:tcW w:w="964" w:type="dxa"/>
            <w:vAlign w:val="center"/>
          </w:tcPr>
          <w:p>
            <w:pPr>
              <w:pStyle w:val="21"/>
              <w:spacing w:line="584" w:lineRule="exact"/>
            </w:pPr>
          </w:p>
        </w:tc>
        <w:tc>
          <w:tcPr>
            <w:tcW w:w="1134" w:type="dxa"/>
            <w:vAlign w:val="center"/>
          </w:tcPr>
          <w:p>
            <w:pPr>
              <w:pStyle w:val="22"/>
              <w:spacing w:line="584" w:lineRule="exact"/>
            </w:pPr>
          </w:p>
        </w:tc>
        <w:tc>
          <w:tcPr>
            <w:tcW w:w="1134" w:type="dxa"/>
            <w:vAlign w:val="center"/>
          </w:tcPr>
          <w:p>
            <w:pPr>
              <w:pStyle w:val="22"/>
              <w:spacing w:line="584" w:lineRule="exact"/>
            </w:pPr>
          </w:p>
        </w:tc>
        <w:tc>
          <w:tcPr>
            <w:tcW w:w="709" w:type="dxa"/>
            <w:vAlign w:val="center"/>
          </w:tcPr>
          <w:p>
            <w:pPr>
              <w:pStyle w:val="20"/>
              <w:spacing w:line="584" w:lineRule="exact"/>
            </w:pPr>
          </w:p>
        </w:tc>
        <w:tc>
          <w:tcPr>
            <w:tcW w:w="850" w:type="dxa"/>
            <w:vAlign w:val="center"/>
          </w:tcPr>
          <w:p>
            <w:pPr>
              <w:pStyle w:val="21"/>
              <w:spacing w:line="584" w:lineRule="exact"/>
            </w:pPr>
          </w:p>
        </w:tc>
        <w:tc>
          <w:tcPr>
            <w:tcW w:w="850"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c>
          <w:tcPr>
            <w:tcW w:w="964" w:type="dxa"/>
            <w:vAlign w:val="center"/>
          </w:tcPr>
          <w:p>
            <w:pPr>
              <w:pStyle w:val="21"/>
              <w:spacing w:line="584"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8"/>
              <w:spacing w:line="584" w:lineRule="exact"/>
            </w:pPr>
          </w:p>
        </w:tc>
        <w:tc>
          <w:tcPr>
            <w:tcW w:w="964" w:type="dxa"/>
            <w:vAlign w:val="center"/>
          </w:tcPr>
          <w:p>
            <w:pPr>
              <w:pStyle w:val="17"/>
              <w:spacing w:line="584" w:lineRule="exact"/>
            </w:pPr>
          </w:p>
        </w:tc>
        <w:tc>
          <w:tcPr>
            <w:tcW w:w="1134" w:type="dxa"/>
            <w:vAlign w:val="center"/>
          </w:tcPr>
          <w:p>
            <w:pPr>
              <w:pStyle w:val="18"/>
              <w:spacing w:line="584" w:lineRule="exact"/>
            </w:pPr>
          </w:p>
        </w:tc>
        <w:tc>
          <w:tcPr>
            <w:tcW w:w="1134" w:type="dxa"/>
            <w:vAlign w:val="center"/>
          </w:tcPr>
          <w:p>
            <w:pPr>
              <w:pStyle w:val="18"/>
              <w:spacing w:line="584" w:lineRule="exact"/>
            </w:pPr>
          </w:p>
        </w:tc>
        <w:tc>
          <w:tcPr>
            <w:tcW w:w="709" w:type="dxa"/>
            <w:vAlign w:val="center"/>
          </w:tcPr>
          <w:p>
            <w:pPr>
              <w:pStyle w:val="19"/>
              <w:spacing w:line="584" w:lineRule="exact"/>
            </w:pPr>
          </w:p>
        </w:tc>
        <w:tc>
          <w:tcPr>
            <w:tcW w:w="850" w:type="dxa"/>
            <w:vAlign w:val="center"/>
          </w:tcPr>
          <w:p>
            <w:pPr>
              <w:pStyle w:val="17"/>
              <w:spacing w:line="584" w:lineRule="exact"/>
            </w:pPr>
          </w:p>
        </w:tc>
        <w:tc>
          <w:tcPr>
            <w:tcW w:w="850"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c>
          <w:tcPr>
            <w:tcW w:w="964" w:type="dxa"/>
            <w:vAlign w:val="center"/>
          </w:tcPr>
          <w:p>
            <w:pPr>
              <w:pStyle w:val="17"/>
              <w:spacing w:line="584" w:lineRule="exact"/>
            </w:pPr>
          </w:p>
        </w:tc>
      </w:tr>
    </w:tbl>
    <w:p>
      <w:pPr>
        <w:spacing w:line="584"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84" w:lineRule="exact"/>
        <w:ind w:firstLine="420"/>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24"/>
          <w:lang w:eastAsia="zh-CN"/>
        </w:rPr>
        <w:t>中共</w:t>
      </w:r>
      <w:r>
        <w:rPr>
          <w:rFonts w:hint="eastAsia" w:ascii="Times New Roman" w:hAnsi="Times New Roman" w:eastAsia="仿宋_GB2312" w:cs="Times New Roman"/>
          <w:sz w:val="32"/>
          <w:szCs w:val="24"/>
        </w:rPr>
        <w:t>香河县</w:t>
      </w:r>
      <w:r>
        <w:rPr>
          <w:rFonts w:hint="eastAsia" w:ascii="Times New Roman" w:hAnsi="Times New Roman" w:eastAsia="仿宋_GB2312" w:cs="Times New Roman"/>
          <w:sz w:val="32"/>
          <w:szCs w:val="24"/>
          <w:lang w:eastAsia="zh-CN"/>
        </w:rPr>
        <w:t>委机构编制委员会办公室</w:t>
      </w:r>
      <w:r>
        <w:rPr>
          <w:rFonts w:ascii="Times New Roman" w:hAnsi="Times New Roman" w:eastAsia="仿宋_GB2312" w:cs="Times New Roman"/>
          <w:sz w:val="32"/>
          <w:szCs w:val="24"/>
        </w:rPr>
        <w:t xml:space="preserve"> </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71.8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主要为计算机设备、打印设备、办公家具等，已列入政府采购预算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香河县部门固定资产占用情况表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color w:val="FF0000"/>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lang w:eastAsia="zh-CN"/>
              </w:rPr>
              <w:t>中共</w:t>
            </w:r>
            <w:r>
              <w:rPr>
                <w:rFonts w:hint="eastAsia" w:ascii="Times New Roman" w:hAnsi="Times New Roman" w:eastAsia="仿宋_GB2312" w:cs="Times New Roman"/>
                <w:kern w:val="0"/>
                <w:sz w:val="22"/>
              </w:rPr>
              <w:t>香河县</w:t>
            </w:r>
            <w:r>
              <w:rPr>
                <w:rFonts w:hint="eastAsia" w:ascii="Times New Roman" w:hAnsi="Times New Roman" w:eastAsia="仿宋_GB2312" w:cs="Times New Roman"/>
                <w:kern w:val="0"/>
                <w:sz w:val="22"/>
                <w:lang w:eastAsia="zh-CN"/>
              </w:rPr>
              <w:t>委机构编制委员会办公室</w:t>
            </w:r>
            <w:r>
              <w:rPr>
                <w:rFonts w:ascii="Times New Roman" w:hAnsi="Times New Roman" w:eastAsia="仿宋_GB2312" w:cs="Times New Roman"/>
                <w:kern w:val="0"/>
                <w:sz w:val="22"/>
              </w:rPr>
              <w:t xml:space="preserve">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22</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24.78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320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47.02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财政预算管理的“三公”经费，是指</w:t>
      </w:r>
      <w:r>
        <w:rPr>
          <w:rFonts w:hint="eastAsia" w:ascii="Times New Roman" w:hAnsi="Times New Roman" w:eastAsia="仿宋_GB2312" w:cs="Times New Roman"/>
          <w:sz w:val="32"/>
          <w:szCs w:val="32"/>
        </w:rPr>
        <w:t>县级</w:t>
      </w:r>
      <w:r>
        <w:rPr>
          <w:rFonts w:ascii="Times New Roman" w:hAnsi="Times New Roman" w:eastAsia="仿宋_GB2312" w:cs="Times New Roman"/>
          <w:sz w:val="32"/>
          <w:szCs w:val="32"/>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spacing w:line="584" w:lineRule="exact"/>
        <w:ind w:firstLine="640" w:firstLineChars="200"/>
        <w:rPr>
          <w:rFonts w:ascii="Times New Roman" w:hAnsi="Times New Roman" w:eastAsia="仿宋_GB2312" w:cs="Times New Roman"/>
          <w:sz w:val="32"/>
          <w:szCs w:val="32"/>
        </w:rPr>
      </w:pPr>
    </w:p>
    <w:p>
      <w:pPr>
        <w:spacing w:line="584" w:lineRule="exact"/>
        <w:rPr>
          <w:rFonts w:ascii="Times New Roman" w:hAnsi="Times New Roman" w:eastAsia="仿宋_GB2312" w:cs="Times New Roman"/>
          <w:sz w:val="32"/>
          <w:szCs w:val="32"/>
        </w:rPr>
      </w:pPr>
    </w:p>
    <w:p>
      <w:pPr>
        <w:spacing w:line="584" w:lineRule="exact"/>
        <w:ind w:firstLine="643" w:firstLineChars="200"/>
        <w:rPr>
          <w:rFonts w:ascii="Times New Roman" w:hAnsi="Times New Roman" w:eastAsia="仿宋_GB2312" w:cs="Times New Roman"/>
          <w:b/>
          <w:color w:val="FF0000"/>
          <w:sz w:val="32"/>
          <w:szCs w:val="32"/>
        </w:rPr>
      </w:pPr>
    </w:p>
    <w:p>
      <w:pPr>
        <w:spacing w:line="584" w:lineRule="exact"/>
        <w:ind w:firstLine="880" w:firstLineChars="200"/>
        <w:jc w:val="center"/>
        <w:rPr>
          <w:rFonts w:ascii="Times New Roman" w:hAnsi="Times New Roman" w:eastAsia="仿宋_GB2312" w:cs="Times New Roman"/>
          <w:sz w:val="44"/>
          <w:szCs w:val="44"/>
        </w:rPr>
      </w:pPr>
    </w:p>
    <w:sectPr>
      <w:footerReference r:id="rId3" w:type="default"/>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3297"/>
      <w:docPartObj>
        <w:docPartGallery w:val="autotext"/>
      </w:docPartObj>
    </w:sdtPr>
    <w:sdtContent>
      <w:p>
        <w:pPr>
          <w:pStyle w:val="3"/>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32"/>
    <w:rsid w:val="000053CC"/>
    <w:rsid w:val="00005DD8"/>
    <w:rsid w:val="00006978"/>
    <w:rsid w:val="00007292"/>
    <w:rsid w:val="00007A31"/>
    <w:rsid w:val="0002784C"/>
    <w:rsid w:val="00031477"/>
    <w:rsid w:val="0003697D"/>
    <w:rsid w:val="00037AF6"/>
    <w:rsid w:val="0004565F"/>
    <w:rsid w:val="00072187"/>
    <w:rsid w:val="00075D5F"/>
    <w:rsid w:val="0008180F"/>
    <w:rsid w:val="00082B29"/>
    <w:rsid w:val="00093DA3"/>
    <w:rsid w:val="000B10A8"/>
    <w:rsid w:val="000B21FD"/>
    <w:rsid w:val="000B529B"/>
    <w:rsid w:val="000C095F"/>
    <w:rsid w:val="000C1A24"/>
    <w:rsid w:val="000C2338"/>
    <w:rsid w:val="000C24E6"/>
    <w:rsid w:val="000C3A19"/>
    <w:rsid w:val="000D0983"/>
    <w:rsid w:val="000D49F2"/>
    <w:rsid w:val="000E4305"/>
    <w:rsid w:val="000F0D09"/>
    <w:rsid w:val="00123A3A"/>
    <w:rsid w:val="001245BB"/>
    <w:rsid w:val="001251A3"/>
    <w:rsid w:val="00137B51"/>
    <w:rsid w:val="00143193"/>
    <w:rsid w:val="001601F9"/>
    <w:rsid w:val="00160266"/>
    <w:rsid w:val="001643E8"/>
    <w:rsid w:val="00164641"/>
    <w:rsid w:val="00164B40"/>
    <w:rsid w:val="00176C13"/>
    <w:rsid w:val="00182359"/>
    <w:rsid w:val="00183D1E"/>
    <w:rsid w:val="001919C4"/>
    <w:rsid w:val="0019331A"/>
    <w:rsid w:val="0019412A"/>
    <w:rsid w:val="0019723B"/>
    <w:rsid w:val="001A0943"/>
    <w:rsid w:val="001A3D44"/>
    <w:rsid w:val="001B3DEB"/>
    <w:rsid w:val="001B5C1D"/>
    <w:rsid w:val="001B614C"/>
    <w:rsid w:val="001C2B2C"/>
    <w:rsid w:val="001C3B5E"/>
    <w:rsid w:val="001D42E8"/>
    <w:rsid w:val="001E0757"/>
    <w:rsid w:val="001E5749"/>
    <w:rsid w:val="001E6DDC"/>
    <w:rsid w:val="001E70E9"/>
    <w:rsid w:val="001E7F38"/>
    <w:rsid w:val="001F5C92"/>
    <w:rsid w:val="001F7873"/>
    <w:rsid w:val="00204F37"/>
    <w:rsid w:val="00230E48"/>
    <w:rsid w:val="00241FD4"/>
    <w:rsid w:val="00246317"/>
    <w:rsid w:val="00251B12"/>
    <w:rsid w:val="0026459A"/>
    <w:rsid w:val="00265318"/>
    <w:rsid w:val="00277452"/>
    <w:rsid w:val="002835D7"/>
    <w:rsid w:val="00290B45"/>
    <w:rsid w:val="00290FD6"/>
    <w:rsid w:val="0029588E"/>
    <w:rsid w:val="00296113"/>
    <w:rsid w:val="002A673A"/>
    <w:rsid w:val="002C29A3"/>
    <w:rsid w:val="002C4BA9"/>
    <w:rsid w:val="002C5E13"/>
    <w:rsid w:val="002C62BC"/>
    <w:rsid w:val="002E0EB8"/>
    <w:rsid w:val="002F3A53"/>
    <w:rsid w:val="002F3E58"/>
    <w:rsid w:val="0030542C"/>
    <w:rsid w:val="003075D4"/>
    <w:rsid w:val="00311B7A"/>
    <w:rsid w:val="003126B6"/>
    <w:rsid w:val="00313D9C"/>
    <w:rsid w:val="00314231"/>
    <w:rsid w:val="00325215"/>
    <w:rsid w:val="0033339C"/>
    <w:rsid w:val="00361949"/>
    <w:rsid w:val="0036386B"/>
    <w:rsid w:val="00371FDA"/>
    <w:rsid w:val="0039520A"/>
    <w:rsid w:val="003A04FB"/>
    <w:rsid w:val="003B6D37"/>
    <w:rsid w:val="003D2E03"/>
    <w:rsid w:val="003D5DCE"/>
    <w:rsid w:val="004041B3"/>
    <w:rsid w:val="00411F57"/>
    <w:rsid w:val="00415C0E"/>
    <w:rsid w:val="00424943"/>
    <w:rsid w:val="0042727E"/>
    <w:rsid w:val="0043175C"/>
    <w:rsid w:val="00437296"/>
    <w:rsid w:val="00444963"/>
    <w:rsid w:val="00451590"/>
    <w:rsid w:val="00451871"/>
    <w:rsid w:val="004706DE"/>
    <w:rsid w:val="00472923"/>
    <w:rsid w:val="00486DCD"/>
    <w:rsid w:val="0049120C"/>
    <w:rsid w:val="004B0C3A"/>
    <w:rsid w:val="004B12F3"/>
    <w:rsid w:val="004B45C1"/>
    <w:rsid w:val="004C49A8"/>
    <w:rsid w:val="004C717F"/>
    <w:rsid w:val="004D0AD1"/>
    <w:rsid w:val="004D5788"/>
    <w:rsid w:val="004E15AE"/>
    <w:rsid w:val="004E3066"/>
    <w:rsid w:val="004E419C"/>
    <w:rsid w:val="004E581C"/>
    <w:rsid w:val="004E74CD"/>
    <w:rsid w:val="00501872"/>
    <w:rsid w:val="00517C46"/>
    <w:rsid w:val="00524EFD"/>
    <w:rsid w:val="00527CD9"/>
    <w:rsid w:val="00572067"/>
    <w:rsid w:val="00573562"/>
    <w:rsid w:val="00573966"/>
    <w:rsid w:val="0057546C"/>
    <w:rsid w:val="00590ECE"/>
    <w:rsid w:val="00597EFC"/>
    <w:rsid w:val="005A32B6"/>
    <w:rsid w:val="005B041A"/>
    <w:rsid w:val="005C0E90"/>
    <w:rsid w:val="005D37CA"/>
    <w:rsid w:val="005D5683"/>
    <w:rsid w:val="005F04DE"/>
    <w:rsid w:val="005F5714"/>
    <w:rsid w:val="005F7AE1"/>
    <w:rsid w:val="00611D03"/>
    <w:rsid w:val="00614A29"/>
    <w:rsid w:val="00616FCE"/>
    <w:rsid w:val="006351FB"/>
    <w:rsid w:val="006465EA"/>
    <w:rsid w:val="00651BA2"/>
    <w:rsid w:val="00665136"/>
    <w:rsid w:val="00672D6C"/>
    <w:rsid w:val="00673D76"/>
    <w:rsid w:val="006750E7"/>
    <w:rsid w:val="00677AC3"/>
    <w:rsid w:val="006854F0"/>
    <w:rsid w:val="00694D30"/>
    <w:rsid w:val="006B1C4A"/>
    <w:rsid w:val="006B610D"/>
    <w:rsid w:val="006C3E06"/>
    <w:rsid w:val="006D010F"/>
    <w:rsid w:val="006E49F5"/>
    <w:rsid w:val="006F66C9"/>
    <w:rsid w:val="006F74B7"/>
    <w:rsid w:val="007004BB"/>
    <w:rsid w:val="007013C8"/>
    <w:rsid w:val="007154DA"/>
    <w:rsid w:val="00716BFB"/>
    <w:rsid w:val="00727C84"/>
    <w:rsid w:val="00740BB2"/>
    <w:rsid w:val="0074338E"/>
    <w:rsid w:val="00753836"/>
    <w:rsid w:val="0075393C"/>
    <w:rsid w:val="00754592"/>
    <w:rsid w:val="00776C08"/>
    <w:rsid w:val="00785B0E"/>
    <w:rsid w:val="007B0400"/>
    <w:rsid w:val="007B49AA"/>
    <w:rsid w:val="007B5167"/>
    <w:rsid w:val="007C219A"/>
    <w:rsid w:val="007C5EA6"/>
    <w:rsid w:val="007E1DA8"/>
    <w:rsid w:val="007E2167"/>
    <w:rsid w:val="007E5EC5"/>
    <w:rsid w:val="007F1335"/>
    <w:rsid w:val="007F2A37"/>
    <w:rsid w:val="007F3BE7"/>
    <w:rsid w:val="007F6C26"/>
    <w:rsid w:val="00800F72"/>
    <w:rsid w:val="00806294"/>
    <w:rsid w:val="00811795"/>
    <w:rsid w:val="00813208"/>
    <w:rsid w:val="00814D62"/>
    <w:rsid w:val="00815157"/>
    <w:rsid w:val="00815F8F"/>
    <w:rsid w:val="008219E1"/>
    <w:rsid w:val="0083348E"/>
    <w:rsid w:val="008334AE"/>
    <w:rsid w:val="00835573"/>
    <w:rsid w:val="00836FED"/>
    <w:rsid w:val="0083724E"/>
    <w:rsid w:val="00841D53"/>
    <w:rsid w:val="00845CD2"/>
    <w:rsid w:val="00852B0D"/>
    <w:rsid w:val="0085425A"/>
    <w:rsid w:val="0085679A"/>
    <w:rsid w:val="0085726E"/>
    <w:rsid w:val="008575E3"/>
    <w:rsid w:val="008576D0"/>
    <w:rsid w:val="008616F6"/>
    <w:rsid w:val="00864B7F"/>
    <w:rsid w:val="00881692"/>
    <w:rsid w:val="008858FF"/>
    <w:rsid w:val="0089075B"/>
    <w:rsid w:val="008A62DA"/>
    <w:rsid w:val="008A6576"/>
    <w:rsid w:val="008A6D3B"/>
    <w:rsid w:val="008B3CC5"/>
    <w:rsid w:val="008B52CD"/>
    <w:rsid w:val="008C4AAE"/>
    <w:rsid w:val="008C7212"/>
    <w:rsid w:val="008C7C4D"/>
    <w:rsid w:val="008E0AD8"/>
    <w:rsid w:val="008E4261"/>
    <w:rsid w:val="008E70D4"/>
    <w:rsid w:val="008F4662"/>
    <w:rsid w:val="0090563F"/>
    <w:rsid w:val="00905D08"/>
    <w:rsid w:val="009161E4"/>
    <w:rsid w:val="009166B4"/>
    <w:rsid w:val="00920908"/>
    <w:rsid w:val="00923F0E"/>
    <w:rsid w:val="00925753"/>
    <w:rsid w:val="00936DDD"/>
    <w:rsid w:val="00937F8B"/>
    <w:rsid w:val="009425F4"/>
    <w:rsid w:val="00943BD8"/>
    <w:rsid w:val="00950961"/>
    <w:rsid w:val="00954B20"/>
    <w:rsid w:val="00954B2C"/>
    <w:rsid w:val="0096626E"/>
    <w:rsid w:val="00966C5C"/>
    <w:rsid w:val="00973104"/>
    <w:rsid w:val="009842F6"/>
    <w:rsid w:val="00995BF0"/>
    <w:rsid w:val="009A16D5"/>
    <w:rsid w:val="009A20CE"/>
    <w:rsid w:val="009A353D"/>
    <w:rsid w:val="009B0B77"/>
    <w:rsid w:val="009B511E"/>
    <w:rsid w:val="009B5215"/>
    <w:rsid w:val="009C6C86"/>
    <w:rsid w:val="009D37D3"/>
    <w:rsid w:val="009F75BF"/>
    <w:rsid w:val="00A16E6C"/>
    <w:rsid w:val="00A40F60"/>
    <w:rsid w:val="00A44E3D"/>
    <w:rsid w:val="00A45598"/>
    <w:rsid w:val="00A72D2E"/>
    <w:rsid w:val="00A736A7"/>
    <w:rsid w:val="00A74447"/>
    <w:rsid w:val="00A74CE5"/>
    <w:rsid w:val="00A77500"/>
    <w:rsid w:val="00A8536F"/>
    <w:rsid w:val="00A911E7"/>
    <w:rsid w:val="00A91AEE"/>
    <w:rsid w:val="00A92170"/>
    <w:rsid w:val="00A939D9"/>
    <w:rsid w:val="00AB77AA"/>
    <w:rsid w:val="00AC1794"/>
    <w:rsid w:val="00AC3370"/>
    <w:rsid w:val="00AC4748"/>
    <w:rsid w:val="00AD5259"/>
    <w:rsid w:val="00AE1A02"/>
    <w:rsid w:val="00B01D36"/>
    <w:rsid w:val="00B02FF0"/>
    <w:rsid w:val="00B061E8"/>
    <w:rsid w:val="00B078CD"/>
    <w:rsid w:val="00B20712"/>
    <w:rsid w:val="00B35627"/>
    <w:rsid w:val="00B43238"/>
    <w:rsid w:val="00B45DD3"/>
    <w:rsid w:val="00B54B90"/>
    <w:rsid w:val="00B64FA8"/>
    <w:rsid w:val="00B73582"/>
    <w:rsid w:val="00B75216"/>
    <w:rsid w:val="00B755A2"/>
    <w:rsid w:val="00B75C1E"/>
    <w:rsid w:val="00B9104C"/>
    <w:rsid w:val="00B91D52"/>
    <w:rsid w:val="00B9490F"/>
    <w:rsid w:val="00BA0016"/>
    <w:rsid w:val="00BA1ACD"/>
    <w:rsid w:val="00BB50F3"/>
    <w:rsid w:val="00BD09F8"/>
    <w:rsid w:val="00BD7278"/>
    <w:rsid w:val="00BE2395"/>
    <w:rsid w:val="00BF2D2F"/>
    <w:rsid w:val="00C005B2"/>
    <w:rsid w:val="00C1565C"/>
    <w:rsid w:val="00C21E0F"/>
    <w:rsid w:val="00C362CA"/>
    <w:rsid w:val="00C40286"/>
    <w:rsid w:val="00C56BB2"/>
    <w:rsid w:val="00C649A9"/>
    <w:rsid w:val="00C6591E"/>
    <w:rsid w:val="00C772C1"/>
    <w:rsid w:val="00C77976"/>
    <w:rsid w:val="00C9191E"/>
    <w:rsid w:val="00CA7176"/>
    <w:rsid w:val="00CB026F"/>
    <w:rsid w:val="00CC0FB3"/>
    <w:rsid w:val="00CC15C3"/>
    <w:rsid w:val="00CC75B0"/>
    <w:rsid w:val="00CD2773"/>
    <w:rsid w:val="00CD3C04"/>
    <w:rsid w:val="00CD52C7"/>
    <w:rsid w:val="00CE01BA"/>
    <w:rsid w:val="00CE143B"/>
    <w:rsid w:val="00CE3A91"/>
    <w:rsid w:val="00CF38DE"/>
    <w:rsid w:val="00D07DBA"/>
    <w:rsid w:val="00D23C16"/>
    <w:rsid w:val="00D24A4A"/>
    <w:rsid w:val="00D27003"/>
    <w:rsid w:val="00D270FD"/>
    <w:rsid w:val="00D27903"/>
    <w:rsid w:val="00D324AD"/>
    <w:rsid w:val="00D56115"/>
    <w:rsid w:val="00D86ED8"/>
    <w:rsid w:val="00D926D0"/>
    <w:rsid w:val="00D9307A"/>
    <w:rsid w:val="00D95B8B"/>
    <w:rsid w:val="00DB08DA"/>
    <w:rsid w:val="00DB4322"/>
    <w:rsid w:val="00DD1D0C"/>
    <w:rsid w:val="00DD62E6"/>
    <w:rsid w:val="00DE186D"/>
    <w:rsid w:val="00DE1C20"/>
    <w:rsid w:val="00DE4AC2"/>
    <w:rsid w:val="00E0381D"/>
    <w:rsid w:val="00E05C03"/>
    <w:rsid w:val="00E167C7"/>
    <w:rsid w:val="00E369F6"/>
    <w:rsid w:val="00E55B78"/>
    <w:rsid w:val="00E66527"/>
    <w:rsid w:val="00E74313"/>
    <w:rsid w:val="00E76361"/>
    <w:rsid w:val="00E84020"/>
    <w:rsid w:val="00EB53A2"/>
    <w:rsid w:val="00EB7A80"/>
    <w:rsid w:val="00EC47F6"/>
    <w:rsid w:val="00EC797B"/>
    <w:rsid w:val="00ED0C47"/>
    <w:rsid w:val="00EE697F"/>
    <w:rsid w:val="00EE6D6D"/>
    <w:rsid w:val="00EF08C9"/>
    <w:rsid w:val="00EF535E"/>
    <w:rsid w:val="00F10A48"/>
    <w:rsid w:val="00F15CD2"/>
    <w:rsid w:val="00F21842"/>
    <w:rsid w:val="00F22ECF"/>
    <w:rsid w:val="00F36922"/>
    <w:rsid w:val="00F41BFB"/>
    <w:rsid w:val="00F471F7"/>
    <w:rsid w:val="00F47C8F"/>
    <w:rsid w:val="00F506F5"/>
    <w:rsid w:val="00F52717"/>
    <w:rsid w:val="00F56E5A"/>
    <w:rsid w:val="00F66032"/>
    <w:rsid w:val="00F83B96"/>
    <w:rsid w:val="00F8441D"/>
    <w:rsid w:val="00F87C1E"/>
    <w:rsid w:val="00F9078A"/>
    <w:rsid w:val="00F958C2"/>
    <w:rsid w:val="00FA6FE9"/>
    <w:rsid w:val="00FA740E"/>
    <w:rsid w:val="00FC06C7"/>
    <w:rsid w:val="00FD5DB4"/>
    <w:rsid w:val="00FE1724"/>
    <w:rsid w:val="00FE375B"/>
    <w:rsid w:val="00FE753C"/>
    <w:rsid w:val="00FF2162"/>
    <w:rsid w:val="00FF2346"/>
    <w:rsid w:val="03CD3679"/>
    <w:rsid w:val="05800E2B"/>
    <w:rsid w:val="13FD7AAD"/>
    <w:rsid w:val="1C4649D3"/>
    <w:rsid w:val="1E486ADD"/>
    <w:rsid w:val="2169595E"/>
    <w:rsid w:val="235D069D"/>
    <w:rsid w:val="286831CA"/>
    <w:rsid w:val="29BC49B1"/>
    <w:rsid w:val="2F79222B"/>
    <w:rsid w:val="2FBB74B0"/>
    <w:rsid w:val="4CFA44E1"/>
    <w:rsid w:val="5A6B22F7"/>
    <w:rsid w:val="64445787"/>
    <w:rsid w:val="659A5220"/>
    <w:rsid w:val="6BE9470C"/>
    <w:rsid w:val="6DBD13CA"/>
    <w:rsid w:val="724C1572"/>
    <w:rsid w:val="72BD45B3"/>
    <w:rsid w:val="74A82568"/>
    <w:rsid w:val="7851188D"/>
    <w:rsid w:val="7AF911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8">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9">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20">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21">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2">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3B29-0B0B-45FC-96B1-4019345955B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657</Words>
  <Characters>3746</Characters>
  <Lines>31</Lines>
  <Paragraphs>8</Paragraphs>
  <TotalTime>5</TotalTime>
  <ScaleCrop>false</ScaleCrop>
  <LinksUpToDate>false</LinksUpToDate>
  <CharactersWithSpaces>4395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Administrator</cp:lastModifiedBy>
  <cp:lastPrinted>2023-01-29T01:01:00Z</cp:lastPrinted>
  <dcterms:modified xsi:type="dcterms:W3CDTF">2023-07-27T07:48:29Z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E4C8CB0154164B1D93B0A84B8E34F891</vt:lpwstr>
  </property>
</Properties>
</file>